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61" w:rsidRDefault="00F51461" w:rsidP="001D1913">
      <w:pPr>
        <w:pStyle w:val="Heading1"/>
        <w:spacing w:before="0"/>
      </w:pPr>
    </w:p>
    <w:p w:rsidR="00D87438" w:rsidRDefault="00D87438" w:rsidP="001D1913">
      <w:pPr>
        <w:pStyle w:val="Heading1"/>
        <w:spacing w:before="0"/>
      </w:pPr>
    </w:p>
    <w:p w:rsidR="00D87438" w:rsidRPr="00942F94" w:rsidRDefault="00D87438" w:rsidP="00E331EC">
      <w:pPr>
        <w:pStyle w:val="Title"/>
        <w:pBdr>
          <w:bottom w:val="none" w:sz="0" w:space="0" w:color="auto"/>
        </w:pBdr>
        <w:spacing w:after="0"/>
        <w:rPr>
          <w:rFonts w:ascii="Arial" w:hAnsi="Arial" w:cs="Arial"/>
          <w:color w:val="auto"/>
          <w:lang w:eastAsia="en-US"/>
        </w:rPr>
      </w:pPr>
      <w:r w:rsidRPr="00942F94">
        <w:rPr>
          <w:rFonts w:ascii="Arial" w:hAnsi="Arial" w:cs="Arial"/>
          <w:color w:val="auto"/>
          <w:lang w:eastAsia="en-US"/>
        </w:rPr>
        <w:t>Vision Australia</w:t>
      </w:r>
    </w:p>
    <w:p w:rsidR="00E331EC" w:rsidRPr="00280D4B" w:rsidRDefault="00D87438" w:rsidP="00E331EC">
      <w:pPr>
        <w:pStyle w:val="Title"/>
        <w:pBdr>
          <w:bottom w:val="none" w:sz="0" w:space="0" w:color="auto"/>
        </w:pBdr>
        <w:rPr>
          <w:rStyle w:val="Heading2Char"/>
          <w:color w:val="auto"/>
          <w:sz w:val="28"/>
          <w:szCs w:val="28"/>
        </w:rPr>
      </w:pPr>
      <w:r w:rsidRPr="00942F94">
        <w:rPr>
          <w:rFonts w:ascii="Arial" w:hAnsi="Arial" w:cs="Arial"/>
          <w:color w:val="auto"/>
          <w:lang w:eastAsia="en-US"/>
        </w:rPr>
        <w:t xml:space="preserve">Submission to the inquiry into </w:t>
      </w:r>
      <w:r w:rsidR="00E331EC">
        <w:rPr>
          <w:rFonts w:ascii="Arial" w:hAnsi="Arial" w:cs="Arial"/>
          <w:color w:val="auto"/>
          <w:lang w:eastAsia="en-US"/>
        </w:rPr>
        <w:t>social inclusion and</w:t>
      </w:r>
      <w:r w:rsidRPr="00942F94">
        <w:rPr>
          <w:rFonts w:ascii="Arial" w:hAnsi="Arial" w:cs="Arial"/>
          <w:color w:val="auto"/>
          <w:lang w:eastAsia="en-US"/>
        </w:rPr>
        <w:t xml:space="preserve"> Victorians with a disability</w:t>
      </w:r>
      <w:r w:rsidRPr="00D87438">
        <w:rPr>
          <w:lang w:eastAsia="en-US"/>
        </w:rPr>
        <w:br/>
      </w:r>
    </w:p>
    <w:p w:rsidR="00D87438" w:rsidRPr="00280D4B" w:rsidRDefault="003E4F65" w:rsidP="00280D4B">
      <w:pPr>
        <w:rPr>
          <w:b/>
          <w:sz w:val="28"/>
          <w:szCs w:val="28"/>
        </w:rPr>
      </w:pPr>
      <w:r>
        <w:rPr>
          <w:b/>
          <w:sz w:val="28"/>
          <w:szCs w:val="28"/>
        </w:rPr>
        <w:t>March</w:t>
      </w:r>
      <w:r w:rsidR="00D87438" w:rsidRPr="00280D4B">
        <w:rPr>
          <w:b/>
          <w:sz w:val="28"/>
          <w:szCs w:val="28"/>
        </w:rPr>
        <w:t xml:space="preserve"> 2014</w:t>
      </w:r>
    </w:p>
    <w:p w:rsidR="00E331EC" w:rsidRDefault="00E331EC" w:rsidP="00D87438">
      <w:pPr>
        <w:rPr>
          <w:rStyle w:val="Strong"/>
          <w:rFonts w:cs="Arial"/>
          <w:b w:val="0"/>
          <w:color w:val="000000"/>
          <w:sz w:val="28"/>
          <w:szCs w:val="28"/>
          <w:lang w:val="en-GB"/>
        </w:rPr>
      </w:pPr>
    </w:p>
    <w:p w:rsidR="00D87438" w:rsidRPr="00D87438" w:rsidRDefault="00942F94" w:rsidP="00D87438">
      <w:pPr>
        <w:rPr>
          <w:rFonts w:cs="Arial"/>
          <w:b/>
          <w:sz w:val="28"/>
          <w:szCs w:val="28"/>
          <w:lang w:eastAsia="en-US"/>
        </w:rPr>
      </w:pPr>
      <w:r w:rsidRPr="00942F94">
        <w:rPr>
          <w:rStyle w:val="Strong"/>
          <w:rFonts w:cs="Arial"/>
          <w:b w:val="0"/>
          <w:color w:val="000000"/>
          <w:sz w:val="28"/>
          <w:szCs w:val="28"/>
          <w:lang w:val="en-GB"/>
        </w:rPr>
        <w:t>The Executive Officer</w:t>
      </w:r>
      <w:r w:rsidRPr="00942F94">
        <w:rPr>
          <w:rFonts w:cs="Arial"/>
          <w:b/>
          <w:color w:val="000000"/>
          <w:sz w:val="28"/>
          <w:szCs w:val="28"/>
          <w:lang w:val="en-GB"/>
        </w:rPr>
        <w:br/>
      </w:r>
      <w:r w:rsidRPr="00942F94">
        <w:rPr>
          <w:rStyle w:val="Strong"/>
          <w:rFonts w:cs="Arial"/>
          <w:b w:val="0"/>
          <w:color w:val="000000"/>
          <w:sz w:val="28"/>
          <w:szCs w:val="28"/>
          <w:lang w:val="en-GB"/>
        </w:rPr>
        <w:t>Family and Community Development Committee</w:t>
      </w:r>
      <w:r w:rsidRPr="00942F94">
        <w:rPr>
          <w:rFonts w:cs="Arial"/>
          <w:b/>
          <w:color w:val="000000"/>
          <w:sz w:val="28"/>
          <w:szCs w:val="28"/>
          <w:lang w:val="en-GB"/>
        </w:rPr>
        <w:br/>
      </w:r>
      <w:r w:rsidRPr="00942F94">
        <w:rPr>
          <w:rStyle w:val="Strong"/>
          <w:rFonts w:cs="Arial"/>
          <w:b w:val="0"/>
          <w:color w:val="000000"/>
          <w:sz w:val="28"/>
          <w:szCs w:val="28"/>
          <w:lang w:val="en-GB"/>
        </w:rPr>
        <w:t>Parliament House</w:t>
      </w:r>
      <w:r w:rsidRPr="00942F94">
        <w:rPr>
          <w:rFonts w:cs="Arial"/>
          <w:b/>
          <w:color w:val="000000"/>
          <w:sz w:val="28"/>
          <w:szCs w:val="28"/>
          <w:lang w:val="en-GB"/>
        </w:rPr>
        <w:br/>
      </w:r>
      <w:r w:rsidRPr="00942F94">
        <w:rPr>
          <w:rStyle w:val="Strong"/>
          <w:rFonts w:cs="Arial"/>
          <w:b w:val="0"/>
          <w:color w:val="000000"/>
          <w:sz w:val="28"/>
          <w:szCs w:val="28"/>
          <w:lang w:val="en-GB"/>
        </w:rPr>
        <w:t>Spring Street</w:t>
      </w:r>
      <w:r w:rsidRPr="00942F94">
        <w:rPr>
          <w:rFonts w:cs="Arial"/>
          <w:b/>
          <w:color w:val="000000"/>
          <w:sz w:val="28"/>
          <w:szCs w:val="28"/>
          <w:lang w:val="en-GB"/>
        </w:rPr>
        <w:br/>
      </w:r>
      <w:r w:rsidRPr="00942F94">
        <w:rPr>
          <w:rStyle w:val="Strong"/>
          <w:rFonts w:cs="Arial"/>
          <w:b w:val="0"/>
          <w:color w:val="000000"/>
          <w:sz w:val="28"/>
          <w:szCs w:val="28"/>
          <w:lang w:val="en-GB"/>
        </w:rPr>
        <w:t>EAST MELBOURNE VIC 3002</w:t>
      </w:r>
    </w:p>
    <w:p w:rsidR="00280D4B" w:rsidRDefault="00280D4B" w:rsidP="00280D4B">
      <w:pPr>
        <w:rPr>
          <w:lang w:eastAsia="en-US"/>
        </w:rPr>
      </w:pPr>
    </w:p>
    <w:p w:rsidR="00280D4B" w:rsidRDefault="00280D4B" w:rsidP="00280D4B">
      <w:pPr>
        <w:rPr>
          <w:lang w:eastAsia="en-US"/>
        </w:rPr>
      </w:pPr>
    </w:p>
    <w:p w:rsidR="00D87438" w:rsidRPr="00280D4B" w:rsidRDefault="00D87438" w:rsidP="00280D4B">
      <w:pPr>
        <w:rPr>
          <w:b/>
          <w:sz w:val="28"/>
          <w:szCs w:val="28"/>
          <w:lang w:eastAsia="en-US"/>
        </w:rPr>
      </w:pPr>
      <w:r w:rsidRPr="00280D4B">
        <w:rPr>
          <w:b/>
          <w:sz w:val="28"/>
          <w:szCs w:val="28"/>
          <w:lang w:eastAsia="en-US"/>
        </w:rPr>
        <w:t>Contact:</w:t>
      </w:r>
    </w:p>
    <w:p w:rsidR="00D87438" w:rsidRPr="00D87438" w:rsidRDefault="00D87438" w:rsidP="00D87438">
      <w:pPr>
        <w:rPr>
          <w:rFonts w:cs="Arial"/>
          <w:sz w:val="28"/>
          <w:szCs w:val="28"/>
          <w:lang w:eastAsia="en-US"/>
        </w:rPr>
      </w:pPr>
      <w:r>
        <w:rPr>
          <w:rFonts w:cs="Arial"/>
          <w:sz w:val="28"/>
          <w:szCs w:val="28"/>
          <w:lang w:eastAsia="en-US"/>
        </w:rPr>
        <w:t>Amy Feldman</w:t>
      </w:r>
    </w:p>
    <w:p w:rsidR="00D87438" w:rsidRPr="00D87438" w:rsidRDefault="00D87438" w:rsidP="00D87438">
      <w:pPr>
        <w:rPr>
          <w:rFonts w:cs="Arial"/>
          <w:sz w:val="28"/>
          <w:szCs w:val="28"/>
          <w:lang w:eastAsia="en-US"/>
        </w:rPr>
      </w:pPr>
      <w:r w:rsidRPr="00D87438">
        <w:rPr>
          <w:rFonts w:cs="Arial"/>
          <w:sz w:val="28"/>
          <w:szCs w:val="28"/>
          <w:lang w:eastAsia="en-US"/>
        </w:rPr>
        <w:t>Policy</w:t>
      </w:r>
      <w:r>
        <w:rPr>
          <w:rFonts w:cs="Arial"/>
          <w:sz w:val="28"/>
          <w:szCs w:val="28"/>
          <w:lang w:eastAsia="en-US"/>
        </w:rPr>
        <w:t xml:space="preserve"> and Research</w:t>
      </w:r>
      <w:r w:rsidRPr="00D87438">
        <w:rPr>
          <w:rFonts w:cs="Arial"/>
          <w:sz w:val="28"/>
          <w:szCs w:val="28"/>
          <w:lang w:eastAsia="en-US"/>
        </w:rPr>
        <w:t xml:space="preserve"> Officer</w:t>
      </w:r>
    </w:p>
    <w:p w:rsidR="00B50D1B" w:rsidRDefault="00D87438" w:rsidP="00D87438">
      <w:pPr>
        <w:rPr>
          <w:rFonts w:cs="Arial"/>
          <w:sz w:val="28"/>
          <w:szCs w:val="28"/>
          <w:lang w:eastAsia="en-US"/>
        </w:rPr>
      </w:pPr>
      <w:r>
        <w:rPr>
          <w:rFonts w:cs="Arial"/>
          <w:sz w:val="28"/>
          <w:szCs w:val="28"/>
          <w:lang w:eastAsia="en-US"/>
        </w:rPr>
        <w:t>Vision</w:t>
      </w:r>
      <w:r w:rsidRPr="00D87438">
        <w:rPr>
          <w:rFonts w:cs="Arial"/>
          <w:sz w:val="28"/>
          <w:szCs w:val="28"/>
          <w:lang w:eastAsia="en-US"/>
        </w:rPr>
        <w:t xml:space="preserve"> Australia</w:t>
      </w:r>
    </w:p>
    <w:p w:rsidR="00B50D1B" w:rsidRDefault="00B50D1B" w:rsidP="00D87438">
      <w:pPr>
        <w:rPr>
          <w:rFonts w:cs="Arial"/>
          <w:sz w:val="28"/>
          <w:szCs w:val="28"/>
          <w:lang w:eastAsia="en-US"/>
        </w:rPr>
      </w:pPr>
    </w:p>
    <w:p w:rsidR="00D87438" w:rsidRPr="00D87438" w:rsidRDefault="00D87438" w:rsidP="00D87438">
      <w:pPr>
        <w:rPr>
          <w:rFonts w:cs="Arial"/>
          <w:sz w:val="28"/>
          <w:szCs w:val="28"/>
          <w:lang w:eastAsia="en-US"/>
        </w:rPr>
      </w:pPr>
      <w:r>
        <w:rPr>
          <w:rFonts w:cs="Arial"/>
          <w:sz w:val="28"/>
          <w:szCs w:val="28"/>
          <w:lang w:eastAsia="en-US"/>
        </w:rPr>
        <w:t>454 Glenferrie Rd</w:t>
      </w:r>
    </w:p>
    <w:p w:rsidR="00D87438" w:rsidRPr="00D87438" w:rsidRDefault="00D87438" w:rsidP="00D87438">
      <w:pPr>
        <w:rPr>
          <w:rFonts w:cs="Arial"/>
          <w:sz w:val="28"/>
          <w:szCs w:val="28"/>
          <w:lang w:eastAsia="en-US"/>
        </w:rPr>
      </w:pPr>
      <w:r>
        <w:rPr>
          <w:rFonts w:cs="Arial"/>
          <w:sz w:val="28"/>
          <w:szCs w:val="28"/>
          <w:lang w:eastAsia="en-US"/>
        </w:rPr>
        <w:t>Kooyong, VIC 3144</w:t>
      </w:r>
    </w:p>
    <w:p w:rsidR="00D87438" w:rsidRPr="00D87438" w:rsidRDefault="00D87438" w:rsidP="00D87438">
      <w:pPr>
        <w:rPr>
          <w:rFonts w:cs="Arial"/>
          <w:sz w:val="28"/>
          <w:szCs w:val="28"/>
          <w:lang w:eastAsia="en-US"/>
        </w:rPr>
      </w:pPr>
    </w:p>
    <w:p w:rsidR="00D87438" w:rsidRPr="00D87438" w:rsidRDefault="00D87438" w:rsidP="00D87438">
      <w:pPr>
        <w:rPr>
          <w:rFonts w:cs="Arial"/>
          <w:sz w:val="28"/>
          <w:szCs w:val="28"/>
          <w:lang w:eastAsia="en-US"/>
        </w:rPr>
      </w:pPr>
      <w:r w:rsidRPr="00D87438">
        <w:rPr>
          <w:rFonts w:cs="Arial"/>
          <w:sz w:val="28"/>
          <w:szCs w:val="28"/>
          <w:lang w:eastAsia="en-US"/>
        </w:rPr>
        <w:t xml:space="preserve">Phone: 03 </w:t>
      </w:r>
      <w:r>
        <w:rPr>
          <w:rFonts w:cs="Arial"/>
          <w:sz w:val="28"/>
          <w:szCs w:val="28"/>
          <w:lang w:eastAsia="en-US"/>
        </w:rPr>
        <w:t>9864 9226</w:t>
      </w:r>
    </w:p>
    <w:p w:rsidR="00D87438" w:rsidRPr="00D87438" w:rsidRDefault="00D87438" w:rsidP="00D87438">
      <w:pPr>
        <w:rPr>
          <w:rFonts w:cs="Arial"/>
          <w:sz w:val="28"/>
          <w:szCs w:val="28"/>
          <w:lang w:eastAsia="en-US"/>
        </w:rPr>
      </w:pPr>
      <w:r>
        <w:rPr>
          <w:rFonts w:cs="Arial"/>
          <w:sz w:val="28"/>
          <w:szCs w:val="28"/>
          <w:lang w:eastAsia="en-US"/>
        </w:rPr>
        <w:t>Email: amy.feldman@visionaustralia.org</w:t>
      </w:r>
    </w:p>
    <w:p w:rsidR="00D87438" w:rsidRDefault="00D87438" w:rsidP="001D1913">
      <w:pPr>
        <w:pStyle w:val="Heading1"/>
        <w:spacing w:before="0"/>
      </w:pPr>
    </w:p>
    <w:p w:rsidR="00D87438" w:rsidRDefault="00D87438" w:rsidP="001D1913">
      <w:pPr>
        <w:pStyle w:val="Heading1"/>
        <w:spacing w:before="0"/>
      </w:pPr>
    </w:p>
    <w:p w:rsidR="00D87438" w:rsidRDefault="00D87438" w:rsidP="001D1913">
      <w:pPr>
        <w:pStyle w:val="Heading1"/>
        <w:spacing w:before="0"/>
      </w:pPr>
    </w:p>
    <w:p w:rsidR="006C3806" w:rsidRPr="006C3806" w:rsidRDefault="006C3806" w:rsidP="006C3806"/>
    <w:p w:rsidR="00942F94" w:rsidRDefault="00942F94" w:rsidP="00942F94">
      <w:pPr>
        <w:pStyle w:val="Heading2"/>
        <w:spacing w:before="0"/>
        <w:rPr>
          <w:u w:val="single"/>
        </w:rPr>
      </w:pPr>
    </w:p>
    <w:p w:rsidR="006C3806" w:rsidRDefault="006C3806" w:rsidP="006C3806"/>
    <w:p w:rsidR="00E065C7" w:rsidRDefault="00E065C7" w:rsidP="00341D13">
      <w:pPr>
        <w:pStyle w:val="Heading2"/>
        <w:spacing w:before="0"/>
        <w:rPr>
          <w:rFonts w:eastAsia="Times New Roman" w:cs="Times New Roman"/>
          <w:b w:val="0"/>
          <w:bCs w:val="0"/>
          <w:szCs w:val="24"/>
        </w:rPr>
      </w:pPr>
      <w:bookmarkStart w:id="0" w:name="_Toc381268906"/>
    </w:p>
    <w:p w:rsidR="0022503D" w:rsidRPr="0022503D" w:rsidRDefault="0022503D" w:rsidP="0022503D"/>
    <w:p w:rsidR="0022503D" w:rsidRDefault="0022503D" w:rsidP="00341D13">
      <w:pPr>
        <w:pStyle w:val="Heading2"/>
        <w:spacing w:before="0"/>
        <w:rPr>
          <w:u w:val="single"/>
        </w:rPr>
      </w:pPr>
    </w:p>
    <w:p w:rsidR="00341D13" w:rsidRPr="00030872" w:rsidRDefault="00341D13" w:rsidP="00341D13">
      <w:pPr>
        <w:pStyle w:val="Heading2"/>
        <w:spacing w:before="0"/>
        <w:rPr>
          <w:u w:val="single"/>
        </w:rPr>
      </w:pPr>
      <w:r w:rsidRPr="00030872">
        <w:rPr>
          <w:u w:val="single"/>
        </w:rPr>
        <w:t>Executive summary</w:t>
      </w:r>
    </w:p>
    <w:p w:rsidR="00341D13" w:rsidRDefault="00341D13" w:rsidP="00341D13"/>
    <w:p w:rsidR="00341D13" w:rsidRDefault="00341D13" w:rsidP="00341D13">
      <w:pPr>
        <w:jc w:val="both"/>
        <w:rPr>
          <w:rFonts w:cs="Arial"/>
        </w:rPr>
      </w:pPr>
      <w:r>
        <w:t xml:space="preserve">Vision Australia welcomes the opportunity to provide feedback to </w:t>
      </w:r>
      <w:r w:rsidR="00AA06C9">
        <w:t>the Family and Community Development Committee’s</w:t>
      </w:r>
      <w:r>
        <w:t xml:space="preserve"> inquiry into social inclusion and </w:t>
      </w:r>
      <w:r w:rsidR="00AA06C9">
        <w:t xml:space="preserve">Victorians with a disability. We have an </w:t>
      </w:r>
      <w:r w:rsidR="00AA06C9">
        <w:rPr>
          <w:rFonts w:cs="Arial"/>
        </w:rPr>
        <w:t xml:space="preserve">extensive </w:t>
      </w:r>
      <w:r>
        <w:rPr>
          <w:rFonts w:cs="Arial"/>
        </w:rPr>
        <w:t xml:space="preserve">knowledge of </w:t>
      </w:r>
      <w:r w:rsidRPr="00C722AE">
        <w:rPr>
          <w:rFonts w:cs="Arial"/>
        </w:rPr>
        <w:t xml:space="preserve">the </w:t>
      </w:r>
      <w:r>
        <w:rPr>
          <w:rFonts w:cs="Arial"/>
        </w:rPr>
        <w:t>barriers</w:t>
      </w:r>
      <w:r w:rsidR="00AA06C9">
        <w:rPr>
          <w:rFonts w:cs="Arial"/>
        </w:rPr>
        <w:t xml:space="preserve"> to social inclusion that are</w:t>
      </w:r>
      <w:r w:rsidRPr="00C722AE">
        <w:rPr>
          <w:rFonts w:cs="Arial"/>
        </w:rPr>
        <w:t xml:space="preserve"> </w:t>
      </w:r>
      <w:r>
        <w:rPr>
          <w:rFonts w:cs="Arial"/>
        </w:rPr>
        <w:t xml:space="preserve">currently experienced by Victorians who are blind or have low </w:t>
      </w:r>
      <w:r w:rsidRPr="00C722AE">
        <w:rPr>
          <w:rFonts w:cs="Arial"/>
        </w:rPr>
        <w:t>vision</w:t>
      </w:r>
      <w:r w:rsidR="00EF260D">
        <w:rPr>
          <w:rFonts w:cs="Arial"/>
        </w:rPr>
        <w:t>.</w:t>
      </w:r>
    </w:p>
    <w:p w:rsidR="00EF260D" w:rsidRDefault="00EF260D" w:rsidP="00341D13">
      <w:pPr>
        <w:jc w:val="both"/>
      </w:pPr>
    </w:p>
    <w:p w:rsidR="002F12C6" w:rsidRPr="002F12C6" w:rsidRDefault="002F12C6" w:rsidP="002F12C6">
      <w:r w:rsidRPr="002F12C6">
        <w:t xml:space="preserve">Vision Australia is </w:t>
      </w:r>
      <w:r w:rsidR="003049BA">
        <w:t xml:space="preserve">the </w:t>
      </w:r>
      <w:r w:rsidRPr="002F12C6">
        <w:t xml:space="preserve">largest provider of blindness and low vision services within Australia. The organisation was formed in 2004 through the merger of several of Australia’s oldest, most respected and experienced blindness and low vision agencies. In any one year we currently provide services to approximately 33,000 clients across 28 office locations throughout Queensland, New South Wales, the Australian Capital Territory and Victoria. </w:t>
      </w:r>
      <w:r w:rsidRPr="002F12C6">
        <w:rPr>
          <w:lang w:val="en"/>
        </w:rPr>
        <w:t>Clinics are also held in 29 other locations, in addition to mobile outreach services in the Northern Territory and Tasmania.</w:t>
      </w:r>
    </w:p>
    <w:p w:rsidR="002F12C6" w:rsidRPr="002F12C6" w:rsidRDefault="002F12C6" w:rsidP="002F12C6"/>
    <w:p w:rsidR="002F12C6" w:rsidRPr="002F12C6" w:rsidRDefault="002F12C6" w:rsidP="002F12C6">
      <w:r w:rsidRPr="002F12C6">
        <w:t>Our goal is that people who are blind or have low vision have the choice to participate fully in every aspect of life within the community. To help realise this goal, we are committed to providing high quality rehabilitation and enablement services to our clients and their families so that they can maintain their independence in the home and wider community.</w:t>
      </w:r>
    </w:p>
    <w:p w:rsidR="002F12C6" w:rsidRPr="002F12C6" w:rsidRDefault="002F12C6" w:rsidP="002F12C6"/>
    <w:p w:rsidR="002F12C6" w:rsidRPr="002F12C6" w:rsidRDefault="002F12C6" w:rsidP="002F12C6">
      <w:r w:rsidRPr="002F12C6">
        <w:t>We work collaboratively with Government, business and the community to eliminate the barriers people who are blind or have low vision face in accessing the community or in exercising their rights as Australian citizens. Furthermore, we empower people who are blind or have low vision by giving them the opportunity to develop self-advocacy skills to advocate for their own rights.</w:t>
      </w:r>
    </w:p>
    <w:p w:rsidR="002F12C6" w:rsidRPr="002F12C6" w:rsidRDefault="002F12C6" w:rsidP="002F12C6"/>
    <w:p w:rsidR="002F12C6" w:rsidRPr="002F12C6" w:rsidRDefault="002F12C6" w:rsidP="002F12C6">
      <w:r w:rsidRPr="002F12C6">
        <w:t>Based on prevalence and census data from the Australian Bureau of Statistics, Vision Australia estimates</w:t>
      </w:r>
      <w:r w:rsidR="003049BA">
        <w:t xml:space="preserve"> that there are approximately 357</w:t>
      </w:r>
      <w:r w:rsidRPr="002F12C6">
        <w:t>,000 people in Australia who are blind or have low vision that cannot be corrected. This number is predicted to increase to more than 564,000 by 2030. In Victoria</w:t>
      </w:r>
      <w:r w:rsidR="003049BA">
        <w:t xml:space="preserve"> alone,</w:t>
      </w:r>
      <w:r w:rsidRPr="002F12C6">
        <w:t xml:space="preserve"> </w:t>
      </w:r>
      <w:r w:rsidR="00F126F3">
        <w:t xml:space="preserve">we estimate that this number is </w:t>
      </w:r>
      <w:r w:rsidR="003049BA">
        <w:t>approximately 89,500</w:t>
      </w:r>
      <w:r w:rsidRPr="002F12C6">
        <w:t xml:space="preserve"> and is likely to </w:t>
      </w:r>
      <w:r w:rsidR="003049BA">
        <w:t>rise</w:t>
      </w:r>
      <w:r w:rsidR="00F126F3">
        <w:t xml:space="preserve"> </w:t>
      </w:r>
      <w:r w:rsidR="003049BA">
        <w:t>to around 138,000</w:t>
      </w:r>
      <w:r w:rsidR="00F126F3" w:rsidRPr="00F126F3">
        <w:t xml:space="preserve"> </w:t>
      </w:r>
      <w:r w:rsidR="00F126F3">
        <w:t>by 2030</w:t>
      </w:r>
      <w:r w:rsidRPr="002F12C6">
        <w:t xml:space="preserve">. </w:t>
      </w:r>
    </w:p>
    <w:p w:rsidR="002F12C6" w:rsidRPr="002F12C6" w:rsidRDefault="002F12C6" w:rsidP="002F12C6"/>
    <w:p w:rsidR="002F12C6" w:rsidRPr="002F12C6" w:rsidRDefault="002F12C6" w:rsidP="002F12C6">
      <w:r w:rsidRPr="002F12C6">
        <w:t xml:space="preserve">Vision loss is, by and large, a disability that is age-related, and the ageing of </w:t>
      </w:r>
      <w:r w:rsidR="003049BA">
        <w:t>Australia’s</w:t>
      </w:r>
      <w:r w:rsidRPr="002F12C6">
        <w:t xml:space="preserve"> population is a primary factor in this upward trend. However</w:t>
      </w:r>
      <w:r w:rsidR="00F126F3">
        <w:t>,</w:t>
      </w:r>
      <w:r w:rsidRPr="002F12C6">
        <w:t xml:space="preserve"> secondary contributing factors</w:t>
      </w:r>
      <w:r w:rsidR="00F126F3">
        <w:t>, such as aboriginality and coming from a culturally and linguistically diverse</w:t>
      </w:r>
      <w:r w:rsidRPr="002F12C6">
        <w:t xml:space="preserve"> background</w:t>
      </w:r>
      <w:r w:rsidR="00F126F3">
        <w:t>, also</w:t>
      </w:r>
      <w:r w:rsidRPr="002F12C6">
        <w:t xml:space="preserve"> increase</w:t>
      </w:r>
      <w:r w:rsidR="00F126F3">
        <w:t>s</w:t>
      </w:r>
      <w:r w:rsidRPr="002F12C6">
        <w:t xml:space="preserve"> the incidence</w:t>
      </w:r>
      <w:r w:rsidR="003049BA">
        <w:t xml:space="preserve"> of</w:t>
      </w:r>
      <w:r w:rsidRPr="002F12C6">
        <w:t xml:space="preserve"> </w:t>
      </w:r>
      <w:r w:rsidR="00F126F3">
        <w:t>b</w:t>
      </w:r>
      <w:r w:rsidRPr="002F12C6">
        <w:t>lindness and</w:t>
      </w:r>
      <w:r w:rsidR="00F126F3">
        <w:t xml:space="preserve"> low v</w:t>
      </w:r>
      <w:r w:rsidRPr="002F12C6">
        <w:t>ision</w:t>
      </w:r>
      <w:r w:rsidR="00F126F3">
        <w:t>.</w:t>
      </w:r>
      <w:r w:rsidRPr="002F12C6">
        <w:t xml:space="preserve"> </w:t>
      </w:r>
      <w:r w:rsidR="00F126F3">
        <w:t>Certain</w:t>
      </w:r>
      <w:r w:rsidRPr="002F12C6">
        <w:t xml:space="preserve"> </w:t>
      </w:r>
      <w:r w:rsidR="00F126F3">
        <w:t xml:space="preserve">medical </w:t>
      </w:r>
      <w:r w:rsidRPr="002F12C6">
        <w:t>conditions</w:t>
      </w:r>
      <w:r w:rsidR="00F126F3">
        <w:t xml:space="preserve">, </w:t>
      </w:r>
      <w:r w:rsidRPr="002F12C6">
        <w:t>such as Diabetes</w:t>
      </w:r>
      <w:r w:rsidR="00F126F3">
        <w:t>, are also linked to an increased risk of vision loss</w:t>
      </w:r>
      <w:r w:rsidRPr="002F12C6">
        <w:t>. Theref</w:t>
      </w:r>
      <w:r w:rsidR="00F126F3">
        <w:t>ore,</w:t>
      </w:r>
      <w:r w:rsidRPr="002F12C6">
        <w:t xml:space="preserve"> when we look at the barriers to social inclusion it often extends beyond the disability to include other contributing factors</w:t>
      </w:r>
      <w:r w:rsidR="00F126F3">
        <w:t>.</w:t>
      </w:r>
    </w:p>
    <w:p w:rsidR="002F12C6" w:rsidRPr="002F12C6" w:rsidRDefault="002F12C6" w:rsidP="002F12C6"/>
    <w:p w:rsidR="002F12C6" w:rsidRPr="002F12C6" w:rsidRDefault="002F12C6" w:rsidP="002F12C6">
      <w:r w:rsidRPr="002F12C6">
        <w:t xml:space="preserve">People who are blind or have low vision are an important section of the community and their needs and perspectives must be taken into account by governments in the </w:t>
      </w:r>
      <w:r w:rsidRPr="002F12C6">
        <w:lastRenderedPageBreak/>
        <w:t xml:space="preserve">development of policy programs and by industry when designing and introducing new technology. </w:t>
      </w:r>
    </w:p>
    <w:p w:rsidR="00341D13" w:rsidRDefault="00341D13" w:rsidP="0082707F"/>
    <w:p w:rsidR="00341D13" w:rsidRDefault="00341D13" w:rsidP="0082707F"/>
    <w:p w:rsidR="00B473CC" w:rsidRPr="00341D13" w:rsidRDefault="00B473CC" w:rsidP="00341D13">
      <w:pPr>
        <w:pStyle w:val="Heading2"/>
        <w:spacing w:before="0"/>
      </w:pPr>
      <w:r w:rsidRPr="00E91611">
        <w:t>Section 3</w:t>
      </w:r>
      <w:r w:rsidR="00280D4B">
        <w:t xml:space="preserve"> – Definitions and terminology</w:t>
      </w:r>
      <w:bookmarkEnd w:id="0"/>
    </w:p>
    <w:p w:rsidR="00C819E2" w:rsidRPr="00CC2AAA" w:rsidRDefault="00C819E2" w:rsidP="00341D13">
      <w:pPr>
        <w:pStyle w:val="Heading3"/>
        <w:numPr>
          <w:ilvl w:val="0"/>
          <w:numId w:val="32"/>
        </w:numPr>
      </w:pPr>
      <w:bookmarkStart w:id="1" w:name="_Toc381268907"/>
      <w:r w:rsidRPr="00CC2AAA">
        <w:t>What needs to happen to ensure that people’s individual disability and experience are accounted for in efforts to increase their social inclusion?</w:t>
      </w:r>
      <w:bookmarkEnd w:id="1"/>
    </w:p>
    <w:p w:rsidR="00CC2AAA" w:rsidRDefault="00CC2AAA" w:rsidP="00CC2AAA">
      <w:pPr>
        <w:pStyle w:val="ListParagraph"/>
        <w:autoSpaceDE w:val="0"/>
        <w:autoSpaceDN w:val="0"/>
        <w:adjustRightInd w:val="0"/>
        <w:rPr>
          <w:rFonts w:cs="Arial"/>
        </w:rPr>
      </w:pPr>
    </w:p>
    <w:p w:rsidR="00AA06C9" w:rsidRDefault="00F0511E" w:rsidP="009A220D">
      <w:pPr>
        <w:pStyle w:val="ListParagraph"/>
        <w:autoSpaceDE w:val="0"/>
        <w:autoSpaceDN w:val="0"/>
        <w:adjustRightInd w:val="0"/>
        <w:ind w:left="360"/>
        <w:rPr>
          <w:rFonts w:cs="Arial"/>
        </w:rPr>
      </w:pPr>
      <w:r w:rsidRPr="00341D13">
        <w:rPr>
          <w:rFonts w:cs="Arial"/>
        </w:rPr>
        <w:t>I</w:t>
      </w:r>
      <w:r w:rsidR="00B0068C" w:rsidRPr="00341D13">
        <w:rPr>
          <w:rFonts w:cs="Arial"/>
        </w:rPr>
        <w:t>mproving</w:t>
      </w:r>
      <w:r w:rsidRPr="00341D13">
        <w:rPr>
          <w:rFonts w:cs="Arial"/>
        </w:rPr>
        <w:t xml:space="preserve"> the social inclusion of </w:t>
      </w:r>
      <w:r w:rsidR="00EB1476" w:rsidRPr="00341D13">
        <w:rPr>
          <w:rFonts w:cs="Arial"/>
        </w:rPr>
        <w:t>Victorians</w:t>
      </w:r>
      <w:r w:rsidRPr="00341D13">
        <w:rPr>
          <w:rFonts w:cs="Arial"/>
        </w:rPr>
        <w:t xml:space="preserve"> who are blind or have low vision will </w:t>
      </w:r>
      <w:r w:rsidR="003F32AD" w:rsidRPr="00341D13">
        <w:rPr>
          <w:rFonts w:cs="Arial"/>
        </w:rPr>
        <w:t xml:space="preserve">require </w:t>
      </w:r>
      <w:r w:rsidR="00EB1476" w:rsidRPr="00341D13">
        <w:rPr>
          <w:rFonts w:cs="Arial"/>
        </w:rPr>
        <w:t>a greater understanding of their needs and capacity</w:t>
      </w:r>
      <w:r w:rsidR="00E45A2F" w:rsidRPr="00341D13">
        <w:rPr>
          <w:rFonts w:cs="Arial"/>
        </w:rPr>
        <w:t xml:space="preserve">. </w:t>
      </w:r>
      <w:r w:rsidR="007E2078">
        <w:rPr>
          <w:rFonts w:cs="Arial"/>
        </w:rPr>
        <w:t xml:space="preserve">It is Vision Australia’s belief that </w:t>
      </w:r>
      <w:r w:rsidR="00AA06C9">
        <w:rPr>
          <w:rFonts w:cs="Arial"/>
        </w:rPr>
        <w:t>Victorians who are blind or have low vision have the ability to participate in any aspect of life they choose</w:t>
      </w:r>
      <w:r w:rsidR="00FD3139" w:rsidRPr="00FD3139">
        <w:rPr>
          <w:rFonts w:cs="Arial"/>
        </w:rPr>
        <w:t xml:space="preserve"> </w:t>
      </w:r>
      <w:r w:rsidR="00FD3139">
        <w:rPr>
          <w:rFonts w:cs="Arial"/>
        </w:rPr>
        <w:t>if given equal opportunities and support</w:t>
      </w:r>
      <w:r w:rsidR="00AA06C9">
        <w:rPr>
          <w:rFonts w:cs="Arial"/>
        </w:rPr>
        <w:t>.</w:t>
      </w:r>
    </w:p>
    <w:p w:rsidR="00AA06C9" w:rsidRDefault="00AA06C9" w:rsidP="009A220D">
      <w:pPr>
        <w:pStyle w:val="ListParagraph"/>
        <w:autoSpaceDE w:val="0"/>
        <w:autoSpaceDN w:val="0"/>
        <w:adjustRightInd w:val="0"/>
        <w:ind w:left="360"/>
        <w:rPr>
          <w:rFonts w:cs="Arial"/>
        </w:rPr>
      </w:pPr>
    </w:p>
    <w:p w:rsidR="00F0511E" w:rsidRPr="00AA06C9" w:rsidRDefault="00E45A2F" w:rsidP="009A220D">
      <w:pPr>
        <w:pStyle w:val="ListParagraph"/>
        <w:autoSpaceDE w:val="0"/>
        <w:autoSpaceDN w:val="0"/>
        <w:adjustRightInd w:val="0"/>
        <w:ind w:left="360"/>
        <w:rPr>
          <w:rFonts w:cs="Arial"/>
        </w:rPr>
      </w:pPr>
      <w:r w:rsidRPr="00AA06C9">
        <w:rPr>
          <w:rFonts w:cs="Arial"/>
        </w:rPr>
        <w:t>It is also important for policy makers and the wider community to consider the value</w:t>
      </w:r>
      <w:r w:rsidR="00EB1476" w:rsidRPr="00AA06C9">
        <w:rPr>
          <w:rFonts w:cs="Arial"/>
        </w:rPr>
        <w:t xml:space="preserve"> of education and employment in </w:t>
      </w:r>
      <w:r w:rsidRPr="00AA06C9">
        <w:rPr>
          <w:rFonts w:cs="Arial"/>
        </w:rPr>
        <w:t xml:space="preserve">empowering </w:t>
      </w:r>
      <w:r w:rsidR="007E2078">
        <w:rPr>
          <w:rFonts w:cs="Arial"/>
        </w:rPr>
        <w:t>Victorians who are blind or have low vision</w:t>
      </w:r>
      <w:r w:rsidRPr="00AA06C9">
        <w:rPr>
          <w:rFonts w:cs="Arial"/>
        </w:rPr>
        <w:t xml:space="preserve"> and </w:t>
      </w:r>
      <w:r w:rsidR="00B44AFB" w:rsidRPr="00AA06C9">
        <w:rPr>
          <w:rFonts w:cs="Arial"/>
        </w:rPr>
        <w:t>advancing</w:t>
      </w:r>
      <w:r w:rsidR="00B305C6">
        <w:rPr>
          <w:rFonts w:cs="Arial"/>
        </w:rPr>
        <w:t xml:space="preserve"> the</w:t>
      </w:r>
      <w:r w:rsidR="00EB1476" w:rsidRPr="00AA06C9">
        <w:rPr>
          <w:rFonts w:cs="Arial"/>
        </w:rPr>
        <w:t xml:space="preserve"> social inclusion</w:t>
      </w:r>
      <w:r w:rsidR="00B305C6">
        <w:rPr>
          <w:rFonts w:cs="Arial"/>
        </w:rPr>
        <w:t xml:space="preserve"> agenda</w:t>
      </w:r>
      <w:r w:rsidR="00EB1476" w:rsidRPr="00AA06C9">
        <w:rPr>
          <w:rFonts w:cs="Arial"/>
        </w:rPr>
        <w:t>.</w:t>
      </w:r>
      <w:r w:rsidR="009D3BE5" w:rsidRPr="00AA06C9">
        <w:rPr>
          <w:rFonts w:cs="Arial"/>
        </w:rPr>
        <w:t xml:space="preserve"> </w:t>
      </w:r>
      <w:r w:rsidR="00EB1476" w:rsidRPr="00AA06C9">
        <w:rPr>
          <w:rFonts w:cs="Arial"/>
        </w:rPr>
        <w:t>I</w:t>
      </w:r>
      <w:r w:rsidR="003F32AD" w:rsidRPr="00AA06C9">
        <w:rPr>
          <w:rFonts w:cs="Arial"/>
        </w:rPr>
        <w:t>ncreased</w:t>
      </w:r>
      <w:r w:rsidR="00F0511E" w:rsidRPr="00AA06C9">
        <w:rPr>
          <w:rFonts w:cs="Arial"/>
        </w:rPr>
        <w:t xml:space="preserve"> opportunities for </w:t>
      </w:r>
      <w:r w:rsidR="00B0068C" w:rsidRPr="00AA06C9">
        <w:rPr>
          <w:rFonts w:cs="Arial"/>
        </w:rPr>
        <w:t>educati</w:t>
      </w:r>
      <w:r w:rsidR="002420BF" w:rsidRPr="00AA06C9">
        <w:rPr>
          <w:rFonts w:cs="Arial"/>
        </w:rPr>
        <w:t>on</w:t>
      </w:r>
      <w:r w:rsidR="00EB1476" w:rsidRPr="00AA06C9">
        <w:rPr>
          <w:rFonts w:cs="Arial"/>
        </w:rPr>
        <w:t xml:space="preserve">, in addition to </w:t>
      </w:r>
      <w:r w:rsidRPr="00AA06C9">
        <w:rPr>
          <w:rFonts w:cs="Arial"/>
        </w:rPr>
        <w:t>assistive technology</w:t>
      </w:r>
      <w:r w:rsidR="00EB1476" w:rsidRPr="00AA06C9">
        <w:rPr>
          <w:rFonts w:cs="Arial"/>
        </w:rPr>
        <w:t xml:space="preserve"> training and </w:t>
      </w:r>
      <w:r w:rsidRPr="00AA06C9">
        <w:rPr>
          <w:rFonts w:cs="Arial"/>
        </w:rPr>
        <w:t xml:space="preserve">rehabilitation services, </w:t>
      </w:r>
      <w:r w:rsidR="00B0068C" w:rsidRPr="00AA06C9">
        <w:rPr>
          <w:rFonts w:cs="Arial"/>
        </w:rPr>
        <w:t>fa</w:t>
      </w:r>
      <w:r w:rsidRPr="00AA06C9">
        <w:rPr>
          <w:rFonts w:cs="Arial"/>
        </w:rPr>
        <w:t>cilitate the transition</w:t>
      </w:r>
      <w:r w:rsidR="00B0068C" w:rsidRPr="00AA06C9">
        <w:rPr>
          <w:rFonts w:cs="Arial"/>
        </w:rPr>
        <w:t xml:space="preserve"> </w:t>
      </w:r>
      <w:r w:rsidRPr="00AA06C9">
        <w:rPr>
          <w:rFonts w:cs="Arial"/>
        </w:rPr>
        <w:t>o</w:t>
      </w:r>
      <w:r w:rsidR="00FD3139">
        <w:rPr>
          <w:rFonts w:cs="Arial"/>
        </w:rPr>
        <w:t>f people with</w:t>
      </w:r>
      <w:r w:rsidRPr="00AA06C9">
        <w:rPr>
          <w:rFonts w:cs="Arial"/>
        </w:rPr>
        <w:t xml:space="preserve"> vision loss from study </w:t>
      </w:r>
      <w:r w:rsidR="00B0068C" w:rsidRPr="00AA06C9">
        <w:rPr>
          <w:rFonts w:cs="Arial"/>
        </w:rPr>
        <w:t>into meaningful employment. Having</w:t>
      </w:r>
      <w:r w:rsidR="003F32AD" w:rsidRPr="00AA06C9">
        <w:rPr>
          <w:rFonts w:cs="Arial"/>
        </w:rPr>
        <w:t xml:space="preserve"> access</w:t>
      </w:r>
      <w:r w:rsidR="00B0068C" w:rsidRPr="00AA06C9">
        <w:rPr>
          <w:rFonts w:cs="Arial"/>
        </w:rPr>
        <w:t xml:space="preserve"> </w:t>
      </w:r>
      <w:r w:rsidR="003F32AD" w:rsidRPr="00AA06C9">
        <w:rPr>
          <w:rFonts w:cs="Arial"/>
        </w:rPr>
        <w:t>to the financial resources provided through employment</w:t>
      </w:r>
      <w:r w:rsidR="00B0068C" w:rsidRPr="00AA06C9">
        <w:rPr>
          <w:rFonts w:cs="Arial"/>
        </w:rPr>
        <w:t xml:space="preserve"> </w:t>
      </w:r>
      <w:r w:rsidR="002420BF" w:rsidRPr="00AA06C9">
        <w:rPr>
          <w:rFonts w:cs="Arial"/>
        </w:rPr>
        <w:t>is</w:t>
      </w:r>
      <w:r w:rsidR="003E7A8B" w:rsidRPr="00AA06C9">
        <w:rPr>
          <w:rFonts w:cs="Arial"/>
        </w:rPr>
        <w:t xml:space="preserve"> also</w:t>
      </w:r>
      <w:r w:rsidR="002420BF" w:rsidRPr="00AA06C9">
        <w:rPr>
          <w:rFonts w:cs="Arial"/>
        </w:rPr>
        <w:t xml:space="preserve"> central</w:t>
      </w:r>
      <w:r w:rsidR="00EB1476" w:rsidRPr="00AA06C9">
        <w:rPr>
          <w:rFonts w:cs="Arial"/>
        </w:rPr>
        <w:t xml:space="preserve"> to accessing</w:t>
      </w:r>
      <w:r w:rsidR="002420BF" w:rsidRPr="00AA06C9">
        <w:rPr>
          <w:rFonts w:cs="Arial"/>
        </w:rPr>
        <w:t xml:space="preserve"> appropriate housing, </w:t>
      </w:r>
      <w:r w:rsidR="00EB1476" w:rsidRPr="00AA06C9">
        <w:rPr>
          <w:rFonts w:cs="Arial"/>
        </w:rPr>
        <w:t xml:space="preserve">pursuing </w:t>
      </w:r>
      <w:r w:rsidR="003F32AD" w:rsidRPr="00AA06C9">
        <w:rPr>
          <w:rFonts w:cs="Arial"/>
        </w:rPr>
        <w:t xml:space="preserve">recreational </w:t>
      </w:r>
      <w:r w:rsidR="00EB1476" w:rsidRPr="00AA06C9">
        <w:rPr>
          <w:rFonts w:cs="Arial"/>
        </w:rPr>
        <w:t>interests</w:t>
      </w:r>
      <w:r w:rsidR="002420BF" w:rsidRPr="00AA06C9">
        <w:rPr>
          <w:rFonts w:cs="Arial"/>
        </w:rPr>
        <w:t xml:space="preserve">, </w:t>
      </w:r>
      <w:r w:rsidR="00EB1476" w:rsidRPr="00AA06C9">
        <w:rPr>
          <w:rFonts w:cs="Arial"/>
        </w:rPr>
        <w:t xml:space="preserve">and accessing private health </w:t>
      </w:r>
      <w:r w:rsidR="003F32AD" w:rsidRPr="00AA06C9">
        <w:rPr>
          <w:rFonts w:cs="Arial"/>
        </w:rPr>
        <w:t xml:space="preserve">care </w:t>
      </w:r>
      <w:r w:rsidRPr="00AA06C9">
        <w:rPr>
          <w:rFonts w:cs="Arial"/>
        </w:rPr>
        <w:t>services, all of which are determinants of social inclusion.</w:t>
      </w:r>
    </w:p>
    <w:p w:rsidR="00CC2AAA" w:rsidRPr="00AA06C9" w:rsidRDefault="00CC2AAA" w:rsidP="00AA06C9">
      <w:pPr>
        <w:autoSpaceDE w:val="0"/>
        <w:autoSpaceDN w:val="0"/>
        <w:adjustRightInd w:val="0"/>
        <w:rPr>
          <w:rFonts w:cs="Arial"/>
        </w:rPr>
      </w:pPr>
    </w:p>
    <w:p w:rsidR="00C819E2" w:rsidRPr="00CC2AAA" w:rsidRDefault="00C819E2" w:rsidP="00341D13">
      <w:pPr>
        <w:pStyle w:val="Heading3"/>
        <w:numPr>
          <w:ilvl w:val="0"/>
          <w:numId w:val="32"/>
        </w:numPr>
      </w:pPr>
      <w:bookmarkStart w:id="2" w:name="_Toc381268908"/>
      <w:r w:rsidRPr="00CC2AAA">
        <w:t>How should ‘social inclusion’ for Victorians with a disability be defined?</w:t>
      </w:r>
      <w:bookmarkEnd w:id="2"/>
    </w:p>
    <w:p w:rsidR="00392C0D" w:rsidRDefault="00392C0D" w:rsidP="00392C0D">
      <w:pPr>
        <w:autoSpaceDE w:val="0"/>
        <w:autoSpaceDN w:val="0"/>
        <w:adjustRightInd w:val="0"/>
        <w:rPr>
          <w:rFonts w:cs="Arial"/>
        </w:rPr>
      </w:pPr>
    </w:p>
    <w:p w:rsidR="001B5737" w:rsidRPr="00341D13" w:rsidRDefault="00A008ED" w:rsidP="009A220D">
      <w:pPr>
        <w:pStyle w:val="ListParagraph"/>
        <w:autoSpaceDE w:val="0"/>
        <w:autoSpaceDN w:val="0"/>
        <w:adjustRightInd w:val="0"/>
        <w:ind w:left="360"/>
        <w:rPr>
          <w:color w:val="252525"/>
          <w:lang w:val="en"/>
        </w:rPr>
      </w:pPr>
      <w:r w:rsidRPr="00341D13">
        <w:rPr>
          <w:color w:val="252525"/>
          <w:lang w:val="en"/>
        </w:rPr>
        <w:t xml:space="preserve">Vision Australia’s primary goal is </w:t>
      </w:r>
      <w:r w:rsidR="00D841F6" w:rsidRPr="00341D13">
        <w:rPr>
          <w:color w:val="252525"/>
          <w:lang w:val="en"/>
        </w:rPr>
        <w:t xml:space="preserve">to support people who are blind or have low vision to </w:t>
      </w:r>
      <w:r w:rsidR="0061741C" w:rsidRPr="00341D13">
        <w:rPr>
          <w:color w:val="252525"/>
          <w:lang w:val="en"/>
        </w:rPr>
        <w:t xml:space="preserve">be independent and </w:t>
      </w:r>
      <w:r w:rsidR="00D841F6" w:rsidRPr="00341D13">
        <w:rPr>
          <w:color w:val="252525"/>
          <w:lang w:val="en"/>
        </w:rPr>
        <w:t>live the life they choose</w:t>
      </w:r>
      <w:r w:rsidR="005962FF" w:rsidRPr="00341D13">
        <w:rPr>
          <w:color w:val="252525"/>
          <w:lang w:val="en"/>
        </w:rPr>
        <w:t xml:space="preserve"> by </w:t>
      </w:r>
      <w:r w:rsidR="0061741C" w:rsidRPr="00341D13">
        <w:rPr>
          <w:color w:val="252525"/>
          <w:lang w:val="en"/>
        </w:rPr>
        <w:t>providing</w:t>
      </w:r>
      <w:r w:rsidR="00D841F6" w:rsidRPr="00341D13">
        <w:rPr>
          <w:color w:val="252525"/>
          <w:lang w:val="en"/>
        </w:rPr>
        <w:t xml:space="preserve"> </w:t>
      </w:r>
      <w:r w:rsidR="005962FF" w:rsidRPr="00341D13">
        <w:rPr>
          <w:color w:val="252525"/>
          <w:lang w:val="en"/>
        </w:rPr>
        <w:t>opportunities for</w:t>
      </w:r>
      <w:r w:rsidR="0061741C" w:rsidRPr="00341D13">
        <w:rPr>
          <w:color w:val="252525"/>
          <w:lang w:val="en"/>
        </w:rPr>
        <w:t xml:space="preserve"> education, </w:t>
      </w:r>
      <w:r w:rsidR="00D841F6" w:rsidRPr="00341D13">
        <w:rPr>
          <w:color w:val="252525"/>
          <w:lang w:val="en"/>
        </w:rPr>
        <w:t>employment</w:t>
      </w:r>
      <w:r w:rsidR="0061741C" w:rsidRPr="00341D13">
        <w:rPr>
          <w:color w:val="252525"/>
          <w:lang w:val="en"/>
        </w:rPr>
        <w:t xml:space="preserve"> and recreation</w:t>
      </w:r>
      <w:r w:rsidR="00D841F6" w:rsidRPr="00341D13">
        <w:rPr>
          <w:color w:val="252525"/>
          <w:lang w:val="en"/>
        </w:rPr>
        <w:t>. This</w:t>
      </w:r>
      <w:r w:rsidR="0061741C" w:rsidRPr="00341D13">
        <w:rPr>
          <w:color w:val="252525"/>
          <w:lang w:val="en"/>
        </w:rPr>
        <w:t xml:space="preserve"> approach</w:t>
      </w:r>
      <w:r w:rsidR="00D841F6" w:rsidRPr="00341D13">
        <w:rPr>
          <w:color w:val="252525"/>
          <w:lang w:val="en"/>
        </w:rPr>
        <w:t xml:space="preserve"> is consistent with the </w:t>
      </w:r>
      <w:r w:rsidR="00DD4D9C" w:rsidRPr="00341D13">
        <w:rPr>
          <w:rFonts w:eastAsiaTheme="majorEastAsia"/>
        </w:rPr>
        <w:t>United Nations</w:t>
      </w:r>
      <w:r w:rsidR="00D841F6" w:rsidRPr="00341D13">
        <w:rPr>
          <w:rFonts w:eastAsiaTheme="majorEastAsia"/>
        </w:rPr>
        <w:t xml:space="preserve"> (UN)</w:t>
      </w:r>
      <w:r w:rsidR="00DD4D9C" w:rsidRPr="00341D13">
        <w:rPr>
          <w:rFonts w:eastAsiaTheme="majorEastAsia"/>
        </w:rPr>
        <w:t xml:space="preserve"> definition of social inclusion</w:t>
      </w:r>
      <w:r w:rsidR="00D841F6" w:rsidRPr="00341D13">
        <w:rPr>
          <w:rFonts w:eastAsiaTheme="majorEastAsia"/>
        </w:rPr>
        <w:t>, which</w:t>
      </w:r>
      <w:r w:rsidR="00DD4D9C" w:rsidRPr="00341D13">
        <w:rPr>
          <w:rFonts w:eastAsiaTheme="majorEastAsia"/>
        </w:rPr>
        <w:t xml:space="preserve"> re</w:t>
      </w:r>
      <w:r w:rsidR="00CB5656" w:rsidRPr="00341D13">
        <w:rPr>
          <w:rFonts w:eastAsiaTheme="majorEastAsia"/>
        </w:rPr>
        <w:t>inforces notions of</w:t>
      </w:r>
      <w:r w:rsidR="00D841F6" w:rsidRPr="00341D13">
        <w:rPr>
          <w:rFonts w:eastAsiaTheme="majorEastAsia"/>
        </w:rPr>
        <w:t xml:space="preserve"> equity</w:t>
      </w:r>
      <w:r w:rsidR="0061741C" w:rsidRPr="00341D13">
        <w:rPr>
          <w:rFonts w:eastAsiaTheme="majorEastAsia"/>
        </w:rPr>
        <w:t xml:space="preserve"> and opportunity</w:t>
      </w:r>
      <w:r w:rsidR="00D841F6" w:rsidRPr="00341D13">
        <w:rPr>
          <w:rFonts w:eastAsiaTheme="majorEastAsia"/>
        </w:rPr>
        <w:t xml:space="preserve">. The UN </w:t>
      </w:r>
      <w:r w:rsidR="00DD4D9C" w:rsidRPr="00341D13">
        <w:rPr>
          <w:rFonts w:eastAsiaTheme="majorEastAsia"/>
        </w:rPr>
        <w:t>characterises s</w:t>
      </w:r>
      <w:r w:rsidR="00CC2AAA" w:rsidRPr="00341D13">
        <w:rPr>
          <w:rFonts w:eastAsiaTheme="majorEastAsia"/>
        </w:rPr>
        <w:t>ocial inclusion</w:t>
      </w:r>
      <w:r w:rsidR="00DD4D9C">
        <w:t> a</w:t>
      </w:r>
      <w:r w:rsidR="00CC2AAA" w:rsidRPr="00CC2AAA">
        <w:t xml:space="preserve">s the process by which efforts are made </w:t>
      </w:r>
      <w:r w:rsidR="00DD4D9C">
        <w:t xml:space="preserve">to ensure equal opportunities for all, </w:t>
      </w:r>
      <w:r w:rsidR="00CC2AAA" w:rsidRPr="00CC2AAA">
        <w:t xml:space="preserve">regardless of background, </w:t>
      </w:r>
      <w:r w:rsidR="00CB5656">
        <w:t xml:space="preserve">to </w:t>
      </w:r>
      <w:r w:rsidR="00CC2AAA" w:rsidRPr="00CC2AAA">
        <w:t xml:space="preserve">achieve </w:t>
      </w:r>
      <w:r w:rsidR="005962FF">
        <w:t>ones</w:t>
      </w:r>
      <w:r w:rsidR="00CC2AAA" w:rsidRPr="00CC2AAA">
        <w:t xml:space="preserve"> full potential in life.</w:t>
      </w:r>
      <w:r w:rsidR="005E236A">
        <w:rPr>
          <w:rStyle w:val="FootnoteReference"/>
        </w:rPr>
        <w:footnoteReference w:id="1"/>
      </w:r>
      <w:r w:rsidR="00CC2AAA" w:rsidRPr="00CC2AAA">
        <w:t xml:space="preserve"> </w:t>
      </w:r>
      <w:r w:rsidR="00CB5656">
        <w:t>This</w:t>
      </w:r>
      <w:r w:rsidR="00CC2AAA" w:rsidRPr="00CC2AAA">
        <w:t xml:space="preserve"> include</w:t>
      </w:r>
      <w:r w:rsidR="00CB5656">
        <w:t>s</w:t>
      </w:r>
      <w:r w:rsidR="00CC2AAA" w:rsidRPr="00CC2AAA">
        <w:t xml:space="preserve"> policies and actions that promote </w:t>
      </w:r>
      <w:r w:rsidR="00CB5656">
        <w:t>equal access to public</w:t>
      </w:r>
      <w:r w:rsidR="00CC2AAA" w:rsidRPr="00CC2AAA">
        <w:t xml:space="preserve"> services </w:t>
      </w:r>
      <w:r w:rsidR="00CB5656">
        <w:t>and</w:t>
      </w:r>
      <w:r w:rsidR="00CC2AAA" w:rsidRPr="00CC2AAA">
        <w:t xml:space="preserve"> enable citizen’s participation in the decision-making processes that affect their lives.</w:t>
      </w:r>
      <w:r w:rsidR="001B5737" w:rsidRPr="00341D13">
        <w:rPr>
          <w:color w:val="252525"/>
          <w:lang w:val="en"/>
        </w:rPr>
        <w:t xml:space="preserve"> </w:t>
      </w:r>
    </w:p>
    <w:p w:rsidR="001B5737" w:rsidRDefault="001B5737" w:rsidP="00CB5656">
      <w:pPr>
        <w:autoSpaceDE w:val="0"/>
        <w:autoSpaceDN w:val="0"/>
        <w:adjustRightInd w:val="0"/>
        <w:rPr>
          <w:color w:val="252525"/>
          <w:lang w:val="en"/>
        </w:rPr>
      </w:pPr>
    </w:p>
    <w:p w:rsidR="003F00AB" w:rsidRPr="00341D13" w:rsidRDefault="003F00AB" w:rsidP="009A220D">
      <w:pPr>
        <w:pStyle w:val="ListParagraph"/>
        <w:autoSpaceDE w:val="0"/>
        <w:autoSpaceDN w:val="0"/>
        <w:adjustRightInd w:val="0"/>
        <w:ind w:left="360"/>
        <w:rPr>
          <w:color w:val="252525"/>
          <w:lang w:val="en"/>
        </w:rPr>
      </w:pPr>
      <w:r w:rsidRPr="00341D13">
        <w:rPr>
          <w:rFonts w:cs="Arial"/>
        </w:rPr>
        <w:t>The Brotherhood of St Laurence</w:t>
      </w:r>
      <w:r w:rsidR="00587CCA">
        <w:rPr>
          <w:rFonts w:cs="Arial"/>
        </w:rPr>
        <w:t xml:space="preserve"> (BSL)</w:t>
      </w:r>
      <w:r w:rsidR="005D57FC" w:rsidRPr="00341D13">
        <w:rPr>
          <w:rFonts w:cs="Arial"/>
        </w:rPr>
        <w:t xml:space="preserve"> (2010)</w:t>
      </w:r>
      <w:r w:rsidR="004629BB" w:rsidRPr="00341D13">
        <w:rPr>
          <w:rFonts w:cs="Arial"/>
        </w:rPr>
        <w:t xml:space="preserve"> have extended this definition of</w:t>
      </w:r>
      <w:r w:rsidRPr="00341D13">
        <w:rPr>
          <w:rFonts w:cs="Arial"/>
        </w:rPr>
        <w:t xml:space="preserve"> social inclusion</w:t>
      </w:r>
      <w:r w:rsidR="00DD4D9C" w:rsidRPr="00341D13">
        <w:rPr>
          <w:rFonts w:cs="Arial"/>
        </w:rPr>
        <w:t xml:space="preserve"> </w:t>
      </w:r>
      <w:r w:rsidR="001B5737" w:rsidRPr="00341D13">
        <w:rPr>
          <w:rFonts w:cs="Arial"/>
        </w:rPr>
        <w:t>by outlining</w:t>
      </w:r>
      <w:r w:rsidR="0061741C" w:rsidRPr="00341D13">
        <w:rPr>
          <w:rFonts w:cs="Arial"/>
        </w:rPr>
        <w:t xml:space="preserve"> tangible and measurable resources</w:t>
      </w:r>
      <w:r w:rsidR="001B5737" w:rsidRPr="00341D13">
        <w:rPr>
          <w:rFonts w:cs="Arial"/>
        </w:rPr>
        <w:t xml:space="preserve"> linked to social inclusion</w:t>
      </w:r>
      <w:r w:rsidR="004629BB" w:rsidRPr="00341D13">
        <w:rPr>
          <w:rFonts w:cs="Arial"/>
        </w:rPr>
        <w:t>, including</w:t>
      </w:r>
      <w:r w:rsidRPr="00341D13">
        <w:rPr>
          <w:rFonts w:cs="Arial"/>
        </w:rPr>
        <w:t>:</w:t>
      </w:r>
      <w:r w:rsidR="00CB5656" w:rsidRPr="00341D13">
        <w:rPr>
          <w:rFonts w:cs="Arial"/>
        </w:rPr>
        <w:t xml:space="preserve"> </w:t>
      </w:r>
      <w:r w:rsidR="005D57FC">
        <w:t>m</w:t>
      </w:r>
      <w:r w:rsidR="0035203E">
        <w:t xml:space="preserve">aterial </w:t>
      </w:r>
      <w:r w:rsidR="0061741C">
        <w:t>assets</w:t>
      </w:r>
      <w:r w:rsidR="00CB5656" w:rsidRPr="00341D13">
        <w:rPr>
          <w:rFonts w:cs="Arial"/>
        </w:rPr>
        <w:t xml:space="preserve">; </w:t>
      </w:r>
      <w:r w:rsidR="005D57FC">
        <w:t>e</w:t>
      </w:r>
      <w:r w:rsidR="0035203E">
        <w:t>mployment</w:t>
      </w:r>
      <w:r w:rsidR="00CB5656" w:rsidRPr="00341D13">
        <w:rPr>
          <w:rFonts w:cs="Arial"/>
        </w:rPr>
        <w:t xml:space="preserve">; </w:t>
      </w:r>
      <w:r w:rsidR="005D57FC">
        <w:t>e</w:t>
      </w:r>
      <w:r w:rsidR="0035203E">
        <w:t>ducation and skills</w:t>
      </w:r>
      <w:r w:rsidR="004629BB">
        <w:t xml:space="preserve"> training</w:t>
      </w:r>
      <w:r w:rsidR="00CB5656" w:rsidRPr="00341D13">
        <w:rPr>
          <w:rFonts w:cs="Arial"/>
        </w:rPr>
        <w:t xml:space="preserve">; </w:t>
      </w:r>
      <w:r w:rsidR="005D57FC">
        <w:lastRenderedPageBreak/>
        <w:t>h</w:t>
      </w:r>
      <w:r w:rsidR="0035203E">
        <w:t>ealth and disability</w:t>
      </w:r>
      <w:r w:rsidR="00CB5656" w:rsidRPr="00341D13">
        <w:rPr>
          <w:rFonts w:cs="Arial"/>
        </w:rPr>
        <w:t xml:space="preserve">; </w:t>
      </w:r>
      <w:r w:rsidR="005D57FC">
        <w:t>s</w:t>
      </w:r>
      <w:r w:rsidR="0035203E">
        <w:t>ocial</w:t>
      </w:r>
      <w:r w:rsidR="004629BB">
        <w:t xml:space="preserve"> supports</w:t>
      </w:r>
      <w:r w:rsidR="00CB5656" w:rsidRPr="00341D13">
        <w:rPr>
          <w:rFonts w:cs="Arial"/>
        </w:rPr>
        <w:t xml:space="preserve">; </w:t>
      </w:r>
      <w:r w:rsidR="005D57FC">
        <w:t>c</w:t>
      </w:r>
      <w:r w:rsidR="004629BB">
        <w:t>ommunity services</w:t>
      </w:r>
      <w:r w:rsidR="00CB5656" w:rsidRPr="00341D13">
        <w:rPr>
          <w:rFonts w:cs="Arial"/>
        </w:rPr>
        <w:t xml:space="preserve">; and </w:t>
      </w:r>
      <w:r w:rsidR="005D57FC">
        <w:t>p</w:t>
      </w:r>
      <w:r>
        <w:t>ersonal safety</w:t>
      </w:r>
      <w:r w:rsidR="0061741C">
        <w:t>.</w:t>
      </w:r>
      <w:r w:rsidR="0030284A">
        <w:rPr>
          <w:rStyle w:val="FootnoteReference"/>
        </w:rPr>
        <w:footnoteReference w:id="2"/>
      </w:r>
      <w:r w:rsidR="001B5737">
        <w:t xml:space="preserve"> This list of determinants of social inclusion covers the range of </w:t>
      </w:r>
      <w:r w:rsidR="000C6225">
        <w:t>opportunities</w:t>
      </w:r>
      <w:r w:rsidR="001B5737">
        <w:t xml:space="preserve"> that Vision Australia strives to </w:t>
      </w:r>
      <w:r w:rsidR="000C6225">
        <w:t>offer</w:t>
      </w:r>
      <w:r w:rsidR="001B5737">
        <w:t xml:space="preserve"> people who are blind or have low vision. </w:t>
      </w:r>
    </w:p>
    <w:p w:rsidR="00CC2AAA" w:rsidRPr="00CC2AAA" w:rsidRDefault="00CC2AAA" w:rsidP="00CC2AAA">
      <w:pPr>
        <w:autoSpaceDE w:val="0"/>
        <w:autoSpaceDN w:val="0"/>
        <w:adjustRightInd w:val="0"/>
        <w:rPr>
          <w:rFonts w:cs="Arial"/>
        </w:rPr>
      </w:pPr>
    </w:p>
    <w:p w:rsidR="00C819E2" w:rsidRPr="00CC2AAA" w:rsidRDefault="00C819E2" w:rsidP="00341D13">
      <w:pPr>
        <w:pStyle w:val="Heading3"/>
        <w:numPr>
          <w:ilvl w:val="0"/>
          <w:numId w:val="32"/>
        </w:numPr>
      </w:pPr>
      <w:bookmarkStart w:id="3" w:name="_Toc381268909"/>
      <w:r w:rsidRPr="00CC2AAA">
        <w:t>What is the difference between the concepts of ‘social inclusion’ and ‘participation’ in the context of people with a disability?</w:t>
      </w:r>
      <w:bookmarkEnd w:id="3"/>
    </w:p>
    <w:p w:rsidR="00CC2AAA" w:rsidRDefault="00CC2AAA" w:rsidP="00CC2AAA">
      <w:pPr>
        <w:autoSpaceDE w:val="0"/>
        <w:autoSpaceDN w:val="0"/>
        <w:adjustRightInd w:val="0"/>
        <w:rPr>
          <w:rFonts w:cs="Arial"/>
        </w:rPr>
      </w:pPr>
    </w:p>
    <w:p w:rsidR="00777C09" w:rsidRDefault="00777C09" w:rsidP="009A220D">
      <w:pPr>
        <w:ind w:left="360"/>
      </w:pPr>
      <w:r>
        <w:t>The term ‘p</w:t>
      </w:r>
      <w:r w:rsidRPr="00B30E06">
        <w:t>artic</w:t>
      </w:r>
      <w:r>
        <w:t>ipation’ refers to the act</w:t>
      </w:r>
      <w:r w:rsidRPr="00B30E06">
        <w:t xml:space="preserve"> of taking part in </w:t>
      </w:r>
      <w:r>
        <w:t xml:space="preserve">an activity. However, this is a passive term that does not infer anything about equity, or being able to participate in activities on equal terms, regardless of physical ability. Furthermore, ‘participation’ does not allude to the multitude of ways in which people can be engaged within their own communities, including education, employment and cultural activities. Alternatively, the term ‘social inclusion/exclusion’ highlights potential systemic barriers that may impede equal access opportunities and impact on a person’s mental and physical wellbeing. For example, a person with vision loss may experience social exclusion by not being able to take full advantage of available public transport options due to inadequate audible announcements during their journey. </w:t>
      </w:r>
    </w:p>
    <w:p w:rsidR="00777C09" w:rsidRDefault="00777C09" w:rsidP="00777C09"/>
    <w:p w:rsidR="00CC2AAA" w:rsidRPr="0004155B" w:rsidRDefault="00777C09" w:rsidP="009A220D">
      <w:pPr>
        <w:ind w:left="360"/>
      </w:pPr>
      <w:r>
        <w:t xml:space="preserve">Overall, social inclusion is a more meaningful outcome for people with a disability, as it recognises that it is a person’s right to actively participate in society at all levels and in the way that best suits them and their level of ability. </w:t>
      </w:r>
    </w:p>
    <w:p w:rsidR="00CC2AAA" w:rsidRPr="00CC2AAA" w:rsidRDefault="00CC2AAA" w:rsidP="00CC2AAA">
      <w:pPr>
        <w:autoSpaceDE w:val="0"/>
        <w:autoSpaceDN w:val="0"/>
        <w:adjustRightInd w:val="0"/>
        <w:rPr>
          <w:rFonts w:cs="Arial"/>
        </w:rPr>
      </w:pPr>
    </w:p>
    <w:p w:rsidR="009D3BE5" w:rsidRDefault="00C819E2" w:rsidP="00341D13">
      <w:pPr>
        <w:pStyle w:val="Heading3"/>
        <w:numPr>
          <w:ilvl w:val="0"/>
          <w:numId w:val="32"/>
        </w:numPr>
      </w:pPr>
      <w:bookmarkStart w:id="4" w:name="_Toc381268910"/>
      <w:r w:rsidRPr="00CC2AAA">
        <w:t>What does social inclusion for Victorians with a disability look like now?</w:t>
      </w:r>
      <w:bookmarkEnd w:id="4"/>
    </w:p>
    <w:p w:rsidR="00840929" w:rsidRDefault="00840929" w:rsidP="00AD5DE4">
      <w:pPr>
        <w:autoSpaceDE w:val="0"/>
        <w:autoSpaceDN w:val="0"/>
        <w:adjustRightInd w:val="0"/>
        <w:rPr>
          <w:rFonts w:cs="Arial"/>
        </w:rPr>
      </w:pPr>
    </w:p>
    <w:p w:rsidR="00D81879" w:rsidRDefault="00840929" w:rsidP="009A220D">
      <w:pPr>
        <w:pStyle w:val="ListParagraph"/>
        <w:autoSpaceDE w:val="0"/>
        <w:autoSpaceDN w:val="0"/>
        <w:adjustRightInd w:val="0"/>
        <w:ind w:left="360"/>
      </w:pPr>
      <w:r w:rsidRPr="00341D13">
        <w:rPr>
          <w:rFonts w:cs="Arial"/>
        </w:rPr>
        <w:t>E</w:t>
      </w:r>
      <w:r w:rsidR="00AD5DE4">
        <w:t>nsu</w:t>
      </w:r>
      <w:r>
        <w:t xml:space="preserve">ring that all individuals have </w:t>
      </w:r>
      <w:r w:rsidR="00AD5DE4">
        <w:t xml:space="preserve">equal opportunities to achieve </w:t>
      </w:r>
      <w:r>
        <w:t xml:space="preserve">their full </w:t>
      </w:r>
      <w:r w:rsidR="00AD5DE4" w:rsidRPr="00CC2AAA">
        <w:t>potential in life</w:t>
      </w:r>
      <w:r>
        <w:t xml:space="preserve"> is the </w:t>
      </w:r>
      <w:r w:rsidR="00FF507C">
        <w:t>end goal of an</w:t>
      </w:r>
      <w:r>
        <w:t xml:space="preserve"> inclusive society</w:t>
      </w:r>
      <w:r w:rsidR="00AD5DE4" w:rsidRPr="00CC2AAA">
        <w:t>.</w:t>
      </w:r>
      <w:r>
        <w:t xml:space="preserve"> While efforts have been made to</w:t>
      </w:r>
      <w:r w:rsidR="00383103">
        <w:t xml:space="preserve"> build the capacity and resources </w:t>
      </w:r>
      <w:r>
        <w:t>of Victorians with disability</w:t>
      </w:r>
      <w:r w:rsidR="00383103">
        <w:t xml:space="preserve"> to enable their economic, social and civic participation</w:t>
      </w:r>
      <w:r>
        <w:t xml:space="preserve">, there are still many </w:t>
      </w:r>
      <w:r w:rsidR="002B67AB">
        <w:t>impediments</w:t>
      </w:r>
      <w:r>
        <w:t xml:space="preserve"> in the way of achieving this goal. </w:t>
      </w:r>
      <w:r w:rsidR="00D81879">
        <w:t xml:space="preserve"> </w:t>
      </w:r>
    </w:p>
    <w:p w:rsidR="00D81879" w:rsidRDefault="00D81879" w:rsidP="009B0143">
      <w:pPr>
        <w:autoSpaceDE w:val="0"/>
        <w:autoSpaceDN w:val="0"/>
        <w:adjustRightInd w:val="0"/>
      </w:pPr>
    </w:p>
    <w:p w:rsidR="005A42F7" w:rsidRDefault="00271D95" w:rsidP="009A220D">
      <w:pPr>
        <w:pStyle w:val="ListParagraph"/>
        <w:autoSpaceDE w:val="0"/>
        <w:autoSpaceDN w:val="0"/>
        <w:adjustRightInd w:val="0"/>
        <w:ind w:left="360"/>
      </w:pPr>
      <w:r>
        <w:t>Vi</w:t>
      </w:r>
      <w:r w:rsidR="00DA445A">
        <w:t>ctorians</w:t>
      </w:r>
      <w:r w:rsidR="00383103">
        <w:t xml:space="preserve"> who are blind or have low vision still regularly experience </w:t>
      </w:r>
      <w:r w:rsidR="00637EA3">
        <w:t xml:space="preserve">systemic </w:t>
      </w:r>
      <w:r w:rsidR="00383103">
        <w:t>barrier</w:t>
      </w:r>
      <w:r w:rsidR="00637EA3">
        <w:t xml:space="preserve">s </w:t>
      </w:r>
      <w:r w:rsidR="00D81879">
        <w:t xml:space="preserve">to education, employment, recreation and public transport, which have a flow on effect </w:t>
      </w:r>
      <w:r w:rsidR="00836976">
        <w:t>to all aspects</w:t>
      </w:r>
      <w:r w:rsidR="00777C09">
        <w:t xml:space="preserve"> of</w:t>
      </w:r>
      <w:r w:rsidR="00836976">
        <w:t xml:space="preserve"> their liv</w:t>
      </w:r>
      <w:r w:rsidR="00D81879">
        <w:t>e</w:t>
      </w:r>
      <w:r w:rsidR="00836976">
        <w:t>s</w:t>
      </w:r>
      <w:r w:rsidR="00D81879">
        <w:t>. For example, w</w:t>
      </w:r>
      <w:r w:rsidR="00A27693">
        <w:t xml:space="preserve">ithout </w:t>
      </w:r>
      <w:r w:rsidR="003E7A8B">
        <w:t>a</w:t>
      </w:r>
      <w:r w:rsidR="00A27693">
        <w:t xml:space="preserve">ccess to accessible information, specialist disability supports, and support from educational facilities, Victorians who are blind or have low vision experience great difficulty in gaining </w:t>
      </w:r>
      <w:r w:rsidR="005A42F7">
        <w:t>an</w:t>
      </w:r>
      <w:r w:rsidR="00A27693">
        <w:t xml:space="preserve"> education. Furthermore, without adequate educational opportunities, many Victorians </w:t>
      </w:r>
      <w:r w:rsidR="000145C5">
        <w:t>with</w:t>
      </w:r>
      <w:r w:rsidR="00A27693">
        <w:t xml:space="preserve"> vision </w:t>
      </w:r>
      <w:r w:rsidR="00836976">
        <w:t xml:space="preserve">loss </w:t>
      </w:r>
      <w:r w:rsidR="00A27693">
        <w:t xml:space="preserve">find it challenging to find and maintain employment. This is compounded by a general lack of employer awareness regarding the capacity of people who are blind or have low vision </w:t>
      </w:r>
      <w:r w:rsidR="005A42F7">
        <w:t xml:space="preserve">and </w:t>
      </w:r>
      <w:r w:rsidR="005A42F7">
        <w:lastRenderedPageBreak/>
        <w:t xml:space="preserve">the availability of </w:t>
      </w:r>
      <w:r w:rsidR="00D923D9">
        <w:t>enabling supports, such as workplace modification</w:t>
      </w:r>
      <w:r w:rsidR="003E7A8B">
        <w:t>s</w:t>
      </w:r>
      <w:r w:rsidR="000145C5">
        <w:t xml:space="preserve"> and adaptive technology training</w:t>
      </w:r>
      <w:r w:rsidR="00637EA3">
        <w:t xml:space="preserve">. </w:t>
      </w:r>
    </w:p>
    <w:p w:rsidR="005A42F7" w:rsidRDefault="005A42F7" w:rsidP="009B0143">
      <w:pPr>
        <w:autoSpaceDE w:val="0"/>
        <w:autoSpaceDN w:val="0"/>
        <w:adjustRightInd w:val="0"/>
      </w:pPr>
    </w:p>
    <w:p w:rsidR="00E27470" w:rsidRDefault="00D923D9" w:rsidP="009A220D">
      <w:pPr>
        <w:pStyle w:val="ListParagraph"/>
        <w:autoSpaceDE w:val="0"/>
        <w:autoSpaceDN w:val="0"/>
        <w:adjustRightInd w:val="0"/>
        <w:ind w:left="360"/>
      </w:pPr>
      <w:r>
        <w:t xml:space="preserve">As a consequence of the high levels of unemployment amongst people who are blind or have low vision, </w:t>
      </w:r>
      <w:r w:rsidR="00836976">
        <w:t xml:space="preserve">which includes approximately 58% of Vision Australia’s clients, </w:t>
      </w:r>
      <w:r w:rsidR="00342F12">
        <w:t>m</w:t>
      </w:r>
      <w:r w:rsidR="002B67AB">
        <w:t xml:space="preserve">any </w:t>
      </w:r>
      <w:r w:rsidR="00836976">
        <w:t>lack the economic resources</w:t>
      </w:r>
      <w:r w:rsidR="00342F12">
        <w:t xml:space="preserve"> to participate in regular </w:t>
      </w:r>
      <w:r w:rsidR="00836976">
        <w:t xml:space="preserve">recreational </w:t>
      </w:r>
      <w:r w:rsidR="008E5C01">
        <w:t>activities</w:t>
      </w:r>
      <w:r w:rsidR="00B123C7">
        <w:t xml:space="preserve">. </w:t>
      </w:r>
      <w:r w:rsidR="00F72597">
        <w:t xml:space="preserve">This often leaves people </w:t>
      </w:r>
      <w:r w:rsidR="00B123C7">
        <w:t>with</w:t>
      </w:r>
      <w:r w:rsidR="00F72597">
        <w:t xml:space="preserve"> vision loss socially isolated with</w:t>
      </w:r>
      <w:r w:rsidR="00711A14">
        <w:t>in</w:t>
      </w:r>
      <w:r w:rsidR="00F72597">
        <w:t xml:space="preserve"> the</w:t>
      </w:r>
      <w:r w:rsidR="00711A14">
        <w:t xml:space="preserve">ir </w:t>
      </w:r>
      <w:r w:rsidR="000145C5">
        <w:t>own communities</w:t>
      </w:r>
      <w:r w:rsidR="00711A14">
        <w:t>, which</w:t>
      </w:r>
      <w:r w:rsidR="00F72597">
        <w:t xml:space="preserve"> can be further exacerbated by </w:t>
      </w:r>
      <w:r w:rsidR="000853A2">
        <w:t>inadeq</w:t>
      </w:r>
      <w:r w:rsidR="00F72597">
        <w:t>uate access to public transport.</w:t>
      </w:r>
    </w:p>
    <w:p w:rsidR="0082707F" w:rsidRDefault="0082707F" w:rsidP="0082707F">
      <w:bookmarkStart w:id="5" w:name="_Toc381268911"/>
    </w:p>
    <w:p w:rsidR="0082707F" w:rsidRDefault="0082707F" w:rsidP="0082707F"/>
    <w:p w:rsidR="00C819E2" w:rsidRPr="00B473CC" w:rsidRDefault="00B473CC" w:rsidP="006C3806">
      <w:pPr>
        <w:pStyle w:val="Heading2"/>
        <w:spacing w:before="0"/>
      </w:pPr>
      <w:r w:rsidRPr="00B473CC">
        <w:t>Section 4</w:t>
      </w:r>
      <w:r w:rsidR="00280D4B">
        <w:t xml:space="preserve"> – Victorians with a disability and social inclusion</w:t>
      </w:r>
      <w:bookmarkEnd w:id="5"/>
    </w:p>
    <w:p w:rsidR="00B473CC" w:rsidRPr="00B473CC" w:rsidRDefault="00B473CC" w:rsidP="00C819E2">
      <w:pPr>
        <w:rPr>
          <w:rFonts w:cs="Arial"/>
        </w:rPr>
      </w:pPr>
    </w:p>
    <w:p w:rsidR="00C819E2" w:rsidRPr="005F7A8F" w:rsidRDefault="00C819E2" w:rsidP="00341D13">
      <w:pPr>
        <w:pStyle w:val="Heading3"/>
        <w:numPr>
          <w:ilvl w:val="0"/>
          <w:numId w:val="33"/>
        </w:numPr>
      </w:pPr>
      <w:bookmarkStart w:id="6" w:name="_Toc381268912"/>
      <w:r w:rsidRPr="005F7A8F">
        <w:t>What are the barriers to meaningful social inclusion for Victorians with a disability?</w:t>
      </w:r>
      <w:bookmarkEnd w:id="6"/>
    </w:p>
    <w:p w:rsidR="00E455C6" w:rsidRDefault="00E455C6" w:rsidP="00E455C6">
      <w:pPr>
        <w:pStyle w:val="ListParagraph"/>
        <w:rPr>
          <w:rFonts w:cs="Arial"/>
        </w:rPr>
      </w:pPr>
    </w:p>
    <w:p w:rsidR="0004155B" w:rsidRPr="007106A4" w:rsidRDefault="0004155B" w:rsidP="009A220D">
      <w:pPr>
        <w:ind w:left="360"/>
        <w:jc w:val="both"/>
        <w:rPr>
          <w:rFonts w:cs="Arial"/>
        </w:rPr>
      </w:pPr>
      <w:r>
        <w:rPr>
          <w:rFonts w:cs="Arial"/>
        </w:rPr>
        <w:t xml:space="preserve">Obtaining information in accessible formats is a substantial barrier to social inclusion for </w:t>
      </w:r>
      <w:r w:rsidR="00E84F9D">
        <w:rPr>
          <w:rFonts w:cs="Arial"/>
        </w:rPr>
        <w:t>Victorians</w:t>
      </w:r>
      <w:r>
        <w:rPr>
          <w:rFonts w:cs="Arial"/>
        </w:rPr>
        <w:t xml:space="preserve"> who are blind or have low vision. </w:t>
      </w:r>
      <w:r w:rsidRPr="007106A4">
        <w:rPr>
          <w:rFonts w:cs="Arial"/>
        </w:rPr>
        <w:t>Access to published information</w:t>
      </w:r>
      <w:r w:rsidR="0038554D">
        <w:rPr>
          <w:rFonts w:cs="Arial"/>
        </w:rPr>
        <w:t xml:space="preserve"> in Braille, audio and plain text formats</w:t>
      </w:r>
      <w:r w:rsidRPr="007106A4">
        <w:rPr>
          <w:rFonts w:cs="Arial"/>
        </w:rPr>
        <w:t xml:space="preserve"> is a fundamental right of all chi</w:t>
      </w:r>
      <w:r>
        <w:rPr>
          <w:rFonts w:cs="Arial"/>
        </w:rPr>
        <w:t xml:space="preserve">ldren and adults who are blind </w:t>
      </w:r>
      <w:r w:rsidR="00E84F9D">
        <w:rPr>
          <w:rFonts w:cs="Arial"/>
        </w:rPr>
        <w:t>or have low vision and</w:t>
      </w:r>
      <w:r w:rsidR="003E7A8B">
        <w:rPr>
          <w:rFonts w:cs="Arial"/>
        </w:rPr>
        <w:t xml:space="preserve"> </w:t>
      </w:r>
      <w:r w:rsidRPr="007106A4">
        <w:rPr>
          <w:rFonts w:cs="Arial"/>
        </w:rPr>
        <w:t xml:space="preserve">is integral to maximising opportunities for participation in all aspects of life, including childhood development, education, employment, </w:t>
      </w:r>
      <w:r w:rsidR="00E84F9D">
        <w:rPr>
          <w:rFonts w:cs="Arial"/>
        </w:rPr>
        <w:t xml:space="preserve">and </w:t>
      </w:r>
      <w:r w:rsidRPr="007106A4">
        <w:rPr>
          <w:rFonts w:cs="Arial"/>
        </w:rPr>
        <w:t>recreation.</w:t>
      </w:r>
      <w:r w:rsidR="00E84F9D" w:rsidRPr="00E84F9D">
        <w:rPr>
          <w:rFonts w:cs="Arial"/>
        </w:rPr>
        <w:t xml:space="preserve"> </w:t>
      </w:r>
      <w:r w:rsidR="00E84F9D">
        <w:rPr>
          <w:rFonts w:cs="Arial"/>
        </w:rPr>
        <w:t>However, less than 5% of all published material is released in an accessible format in Australia due to copyright restrictions.</w:t>
      </w:r>
    </w:p>
    <w:p w:rsidR="0004155B" w:rsidRPr="0004155B" w:rsidRDefault="0004155B" w:rsidP="009A220D">
      <w:pPr>
        <w:rPr>
          <w:rFonts w:cs="Arial"/>
        </w:rPr>
      </w:pPr>
    </w:p>
    <w:p w:rsidR="008A7C1B" w:rsidRPr="00CE1C09" w:rsidRDefault="008A7C1B" w:rsidP="009A220D">
      <w:pPr>
        <w:tabs>
          <w:tab w:val="num" w:pos="426"/>
        </w:tabs>
        <w:spacing w:after="120"/>
        <w:ind w:left="360" w:right="-306"/>
      </w:pPr>
      <w:r w:rsidRPr="00CE1C09">
        <w:t>Access to</w:t>
      </w:r>
      <w:r w:rsidR="00BB45E6">
        <w:t xml:space="preserve"> meaningful</w:t>
      </w:r>
      <w:r w:rsidRPr="00CE1C09">
        <w:t xml:space="preserve"> employment is a</w:t>
      </w:r>
      <w:r w:rsidR="0038554D">
        <w:t>nother</w:t>
      </w:r>
      <w:r w:rsidRPr="00CE1C09">
        <w:t xml:space="preserve"> </w:t>
      </w:r>
      <w:r w:rsidR="00000905">
        <w:t xml:space="preserve">systemic </w:t>
      </w:r>
      <w:r w:rsidR="0038554D">
        <w:t>barrier experience</w:t>
      </w:r>
      <w:r w:rsidR="00BA76F1">
        <w:t>d</w:t>
      </w:r>
      <w:r w:rsidR="0038554D">
        <w:t xml:space="preserve"> by </w:t>
      </w:r>
      <w:r w:rsidR="00BB45E6">
        <w:t>Victorians</w:t>
      </w:r>
      <w:r w:rsidR="0038554D">
        <w:t xml:space="preserve"> who ar</w:t>
      </w:r>
      <w:r w:rsidR="000145C5">
        <w:t>e blind or have low vision. In a</w:t>
      </w:r>
      <w:r w:rsidR="0038554D">
        <w:t xml:space="preserve"> 2012 survey of Vision Australia clients of working age, approximately 58% were unemployed not by their own choice due to negative employer </w:t>
      </w:r>
      <w:r w:rsidR="00BA76F1">
        <w:t>perceptions towards hiring persons with disability.</w:t>
      </w:r>
      <w:r w:rsidR="0038554D">
        <w:t xml:space="preserve"> </w:t>
      </w:r>
      <w:r w:rsidR="00BA76F1">
        <w:t xml:space="preserve">Employment </w:t>
      </w:r>
      <w:r w:rsidRPr="00CE1C09">
        <w:t>is integral to</w:t>
      </w:r>
      <w:r w:rsidR="00B80E22">
        <w:t xml:space="preserve"> ensuring</w:t>
      </w:r>
      <w:r w:rsidRPr="00CE1C09">
        <w:t xml:space="preserve"> </w:t>
      </w:r>
      <w:r w:rsidR="00B80E22">
        <w:t>social inclusion</w:t>
      </w:r>
      <w:r w:rsidR="006D4FCB">
        <w:t xml:space="preserve"> for people who are blind or have low vision</w:t>
      </w:r>
      <w:r w:rsidR="00B80E22">
        <w:t>, as it provides</w:t>
      </w:r>
      <w:r w:rsidR="00BA76F1">
        <w:t xml:space="preserve"> </w:t>
      </w:r>
      <w:r w:rsidRPr="00CE1C09">
        <w:t xml:space="preserve">economic security, </w:t>
      </w:r>
      <w:r w:rsidR="00B80E22">
        <w:t xml:space="preserve">allows for </w:t>
      </w:r>
      <w:r w:rsidR="00BA76F1">
        <w:t>independent living</w:t>
      </w:r>
      <w:r w:rsidRPr="00CE1C09">
        <w:t xml:space="preserve">, </w:t>
      </w:r>
      <w:r w:rsidR="00B80E22">
        <w:t>increases</w:t>
      </w:r>
      <w:r w:rsidR="006D4FCB">
        <w:t xml:space="preserve"> recreational</w:t>
      </w:r>
      <w:r w:rsidR="00BA76F1">
        <w:t xml:space="preserve"> opportunities </w:t>
      </w:r>
      <w:r w:rsidRPr="00CE1C09">
        <w:t>and access to goods, including assistive technologies.</w:t>
      </w:r>
      <w:r w:rsidR="003E7A8B">
        <w:t xml:space="preserve"> However, many </w:t>
      </w:r>
      <w:r w:rsidR="00000905">
        <w:t>Victorians</w:t>
      </w:r>
      <w:r w:rsidR="000F746E">
        <w:t xml:space="preserve"> </w:t>
      </w:r>
      <w:r w:rsidR="00B123C7">
        <w:t xml:space="preserve">with vision loss </w:t>
      </w:r>
      <w:r w:rsidR="000F746E">
        <w:t>experience discrimination in finding work due to</w:t>
      </w:r>
      <w:r w:rsidR="00B123C7">
        <w:t xml:space="preserve"> their</w:t>
      </w:r>
      <w:r w:rsidR="000F746E">
        <w:t xml:space="preserve"> </w:t>
      </w:r>
      <w:r w:rsidR="00B123C7">
        <w:t xml:space="preserve">eye condition </w:t>
      </w:r>
      <w:r w:rsidR="000F746E">
        <w:t>and have difficulty maintaining their e</w:t>
      </w:r>
      <w:r w:rsidR="00B123C7">
        <w:t>mployment once</w:t>
      </w:r>
      <w:r w:rsidR="000F746E">
        <w:t xml:space="preserve"> their eyesight </w:t>
      </w:r>
      <w:r w:rsidR="00B123C7">
        <w:t>begins to deteriorate</w:t>
      </w:r>
      <w:r w:rsidR="000F746E">
        <w:t>.</w:t>
      </w:r>
    </w:p>
    <w:p w:rsidR="00E51F73" w:rsidRDefault="00E51F73" w:rsidP="009A220D">
      <w:pPr>
        <w:rPr>
          <w:rFonts w:cs="Arial"/>
        </w:rPr>
      </w:pPr>
    </w:p>
    <w:p w:rsidR="005E337D" w:rsidRDefault="00E84F9D" w:rsidP="009A220D">
      <w:pPr>
        <w:ind w:left="360"/>
        <w:rPr>
          <w:rFonts w:cs="Arial"/>
        </w:rPr>
      </w:pPr>
      <w:r>
        <w:rPr>
          <w:rFonts w:cs="Arial"/>
        </w:rPr>
        <w:t>Victorians</w:t>
      </w:r>
      <w:r w:rsidR="00B80E22">
        <w:rPr>
          <w:rFonts w:cs="Arial"/>
        </w:rPr>
        <w:t xml:space="preserve"> who are blind or have low vision often lack access to c</w:t>
      </w:r>
      <w:r w:rsidR="00BA76F1" w:rsidRPr="0077523B">
        <w:rPr>
          <w:rFonts w:cs="Arial"/>
        </w:rPr>
        <w:t xml:space="preserve">onvenient and affordable </w:t>
      </w:r>
      <w:r w:rsidR="00B80E22">
        <w:rPr>
          <w:rFonts w:cs="Arial"/>
        </w:rPr>
        <w:t>adaptive technology to assist them in</w:t>
      </w:r>
      <w:r w:rsidR="00BA76F1" w:rsidRPr="0077523B">
        <w:rPr>
          <w:rFonts w:cs="Arial"/>
        </w:rPr>
        <w:t xml:space="preserve"> carry</w:t>
      </w:r>
      <w:r w:rsidR="00B80E22">
        <w:rPr>
          <w:rFonts w:cs="Arial"/>
        </w:rPr>
        <w:t>ing out everyday tasks at home, work and in the community.</w:t>
      </w:r>
      <w:r w:rsidR="00BA76F1" w:rsidRPr="0077523B">
        <w:rPr>
          <w:rFonts w:cs="Arial"/>
        </w:rPr>
        <w:t xml:space="preserve"> Given the </w:t>
      </w:r>
      <w:r w:rsidR="00B80E22">
        <w:rPr>
          <w:rFonts w:cs="Arial"/>
        </w:rPr>
        <w:t>specialist nature of much of this</w:t>
      </w:r>
      <w:r w:rsidR="00BA76F1" w:rsidRPr="0077523B">
        <w:rPr>
          <w:rFonts w:cs="Arial"/>
        </w:rPr>
        <w:t xml:space="preserve"> equipment, the </w:t>
      </w:r>
      <w:r w:rsidR="00B80E22">
        <w:rPr>
          <w:rFonts w:cs="Arial"/>
        </w:rPr>
        <w:t xml:space="preserve">costs are often beyond </w:t>
      </w:r>
      <w:r w:rsidR="00BA76F1" w:rsidRPr="0077523B">
        <w:rPr>
          <w:rFonts w:cs="Arial"/>
        </w:rPr>
        <w:t xml:space="preserve">the capacity of many people to </w:t>
      </w:r>
      <w:r w:rsidR="00B123C7">
        <w:rPr>
          <w:rFonts w:cs="Arial"/>
        </w:rPr>
        <w:t>pay</w:t>
      </w:r>
      <w:r w:rsidR="00B80E22">
        <w:rPr>
          <w:rFonts w:cs="Arial"/>
        </w:rPr>
        <w:t>.</w:t>
      </w:r>
      <w:r w:rsidR="00442B28">
        <w:rPr>
          <w:rFonts w:cs="Arial"/>
        </w:rPr>
        <w:t xml:space="preserve"> </w:t>
      </w:r>
      <w:r>
        <w:rPr>
          <w:rFonts w:cs="Arial"/>
        </w:rPr>
        <w:t>Furthermore, m</w:t>
      </w:r>
      <w:r w:rsidR="00442B28">
        <w:rPr>
          <w:rFonts w:cs="Arial"/>
        </w:rPr>
        <w:t xml:space="preserve">any </w:t>
      </w:r>
      <w:r w:rsidR="00BA76F1" w:rsidRPr="00881F18">
        <w:rPr>
          <w:rFonts w:cs="Arial"/>
        </w:rPr>
        <w:t xml:space="preserve">manufacturers of mainstream equipment </w:t>
      </w:r>
      <w:r w:rsidR="00442B28">
        <w:rPr>
          <w:rFonts w:cs="Arial"/>
        </w:rPr>
        <w:t>do not</w:t>
      </w:r>
      <w:r w:rsidR="00B123C7">
        <w:rPr>
          <w:rFonts w:cs="Arial"/>
        </w:rPr>
        <w:t xml:space="preserve"> adopt universal design principles that</w:t>
      </w:r>
      <w:r w:rsidR="00BA76F1" w:rsidRPr="00881F18">
        <w:rPr>
          <w:rFonts w:cs="Arial"/>
        </w:rPr>
        <w:t xml:space="preserve"> take </w:t>
      </w:r>
      <w:r w:rsidR="00BA76F1">
        <w:rPr>
          <w:rFonts w:cs="Arial"/>
        </w:rPr>
        <w:t xml:space="preserve">the </w:t>
      </w:r>
      <w:r w:rsidR="00BA76F1" w:rsidRPr="00881F18">
        <w:rPr>
          <w:rFonts w:cs="Arial"/>
        </w:rPr>
        <w:t>access needs of people with a disability</w:t>
      </w:r>
      <w:r w:rsidR="00BA76F1">
        <w:rPr>
          <w:rFonts w:cs="Arial"/>
        </w:rPr>
        <w:t xml:space="preserve"> into account</w:t>
      </w:r>
      <w:r w:rsidR="00BA76F1" w:rsidRPr="00881F18">
        <w:rPr>
          <w:rFonts w:cs="Arial"/>
        </w:rPr>
        <w:t xml:space="preserve">. </w:t>
      </w:r>
      <w:r w:rsidR="00442B28">
        <w:rPr>
          <w:rFonts w:cs="Arial"/>
        </w:rPr>
        <w:t>For example</w:t>
      </w:r>
      <w:r w:rsidR="005E337D">
        <w:rPr>
          <w:rFonts w:cs="Arial"/>
        </w:rPr>
        <w:t>,</w:t>
      </w:r>
      <w:r w:rsidR="005E337D" w:rsidRPr="00881F18">
        <w:rPr>
          <w:rFonts w:cs="Arial"/>
        </w:rPr>
        <w:t xml:space="preserve"> visual interfaces</w:t>
      </w:r>
      <w:r w:rsidR="005E337D">
        <w:rPr>
          <w:rFonts w:cs="Arial"/>
        </w:rPr>
        <w:t>,</w:t>
      </w:r>
      <w:r w:rsidR="005E337D" w:rsidRPr="00881F18">
        <w:rPr>
          <w:rFonts w:cs="Arial"/>
        </w:rPr>
        <w:t xml:space="preserve"> such as touchscreens</w:t>
      </w:r>
      <w:r w:rsidR="005E337D">
        <w:rPr>
          <w:rFonts w:cs="Arial"/>
        </w:rPr>
        <w:t>, are now</w:t>
      </w:r>
      <w:r w:rsidR="005E337D" w:rsidRPr="00881F18">
        <w:rPr>
          <w:rFonts w:cs="Arial"/>
        </w:rPr>
        <w:t xml:space="preserve"> on a </w:t>
      </w:r>
      <w:r w:rsidR="005E337D" w:rsidRPr="00881F18">
        <w:rPr>
          <w:rFonts w:cs="Arial"/>
        </w:rPr>
        <w:lastRenderedPageBreak/>
        <w:t>wide range of mainstream equipment</w:t>
      </w:r>
      <w:r w:rsidR="005E337D">
        <w:rPr>
          <w:rFonts w:cs="Arial"/>
        </w:rPr>
        <w:t xml:space="preserve">, but are not </w:t>
      </w:r>
      <w:r w:rsidR="005E337D" w:rsidRPr="00881F18">
        <w:rPr>
          <w:rFonts w:cs="Arial"/>
        </w:rPr>
        <w:t>accessible for people who cannot see visual display</w:t>
      </w:r>
      <w:r w:rsidR="005E337D">
        <w:rPr>
          <w:rFonts w:cs="Arial"/>
        </w:rPr>
        <w:t>s or locate</w:t>
      </w:r>
      <w:r w:rsidR="00B123C7">
        <w:rPr>
          <w:rFonts w:cs="Arial"/>
        </w:rPr>
        <w:t xml:space="preserve"> the</w:t>
      </w:r>
      <w:r w:rsidR="005E337D">
        <w:rPr>
          <w:rFonts w:cs="Arial"/>
        </w:rPr>
        <w:t xml:space="preserve"> trigger points on a</w:t>
      </w:r>
      <w:r w:rsidR="005E337D" w:rsidRPr="00881F18">
        <w:rPr>
          <w:rFonts w:cs="Arial"/>
        </w:rPr>
        <w:t xml:space="preserve"> touchscreen.</w:t>
      </w:r>
    </w:p>
    <w:p w:rsidR="00840929" w:rsidRDefault="00840929" w:rsidP="009A220D">
      <w:pPr>
        <w:rPr>
          <w:rFonts w:cs="Arial"/>
        </w:rPr>
      </w:pPr>
    </w:p>
    <w:p w:rsidR="008E5257" w:rsidRDefault="00840929" w:rsidP="009A220D">
      <w:pPr>
        <w:ind w:left="360"/>
        <w:rPr>
          <w:rFonts w:cs="Arial"/>
        </w:rPr>
      </w:pPr>
      <w:r>
        <w:rPr>
          <w:rFonts w:cs="Arial"/>
        </w:rPr>
        <w:t>Public transport</w:t>
      </w:r>
      <w:r w:rsidR="0072732B">
        <w:rPr>
          <w:rFonts w:cs="Arial"/>
        </w:rPr>
        <w:t xml:space="preserve"> is </w:t>
      </w:r>
      <w:r w:rsidR="00E84F9D">
        <w:rPr>
          <w:rFonts w:cs="Arial"/>
        </w:rPr>
        <w:t xml:space="preserve">also </w:t>
      </w:r>
      <w:r w:rsidR="0072732B">
        <w:rPr>
          <w:rFonts w:cs="Arial"/>
        </w:rPr>
        <w:t>vital to</w:t>
      </w:r>
      <w:r w:rsidR="00000905">
        <w:rPr>
          <w:rFonts w:cs="Arial"/>
        </w:rPr>
        <w:t xml:space="preserve"> improving </w:t>
      </w:r>
      <w:r w:rsidR="0072732B">
        <w:rPr>
          <w:rFonts w:cs="Arial"/>
        </w:rPr>
        <w:t xml:space="preserve">the social inclusion of people who are blind or have low vision, as it provides them with a connection to local services and social supports </w:t>
      </w:r>
      <w:r w:rsidR="00E84F9D">
        <w:rPr>
          <w:rFonts w:cs="Arial"/>
        </w:rPr>
        <w:t>with</w:t>
      </w:r>
      <w:r w:rsidR="0072732B">
        <w:rPr>
          <w:rFonts w:cs="Arial"/>
        </w:rPr>
        <w:t xml:space="preserve">in the community. However, there are a number of systemic barriers </w:t>
      </w:r>
      <w:r w:rsidR="00C964FB">
        <w:rPr>
          <w:rFonts w:cs="Arial"/>
        </w:rPr>
        <w:t xml:space="preserve">regularly </w:t>
      </w:r>
      <w:r w:rsidR="0072732B">
        <w:rPr>
          <w:rFonts w:cs="Arial"/>
        </w:rPr>
        <w:t xml:space="preserve">experienced by Victorians who are </w:t>
      </w:r>
      <w:r w:rsidR="00C964FB">
        <w:rPr>
          <w:rFonts w:cs="Arial"/>
        </w:rPr>
        <w:t>blind or have low vision</w:t>
      </w:r>
      <w:r w:rsidR="00E84F9D">
        <w:rPr>
          <w:rFonts w:cs="Arial"/>
        </w:rPr>
        <w:t xml:space="preserve"> when accessing public transport</w:t>
      </w:r>
      <w:r w:rsidR="00C964FB">
        <w:rPr>
          <w:rFonts w:cs="Arial"/>
        </w:rPr>
        <w:t xml:space="preserve">. </w:t>
      </w:r>
      <w:r w:rsidR="008E5257" w:rsidRPr="00E573F4">
        <w:rPr>
          <w:rFonts w:cs="Arial"/>
        </w:rPr>
        <w:t>The lack of audible announcements on buses</w:t>
      </w:r>
      <w:r w:rsidR="000B47F4">
        <w:rPr>
          <w:rFonts w:cs="Arial"/>
        </w:rPr>
        <w:t xml:space="preserve"> and t</w:t>
      </w:r>
      <w:r w:rsidR="00E84F9D">
        <w:rPr>
          <w:rFonts w:cs="Arial"/>
        </w:rPr>
        <w:t xml:space="preserve">rains is </w:t>
      </w:r>
      <w:r w:rsidR="00000905">
        <w:rPr>
          <w:rFonts w:cs="Arial"/>
        </w:rPr>
        <w:t>a major</w:t>
      </w:r>
      <w:r w:rsidR="008E5257" w:rsidRPr="00E573F4">
        <w:rPr>
          <w:rFonts w:cs="Arial"/>
        </w:rPr>
        <w:t xml:space="preserve"> area </w:t>
      </w:r>
      <w:r w:rsidR="000B47F4">
        <w:rPr>
          <w:rFonts w:cs="Arial"/>
        </w:rPr>
        <w:t>of concern, as people who are blind or have low vision regularly miss their stops or are unaware of route changes</w:t>
      </w:r>
      <w:r w:rsidR="008E5257" w:rsidRPr="00E573F4">
        <w:rPr>
          <w:rFonts w:cs="Arial"/>
        </w:rPr>
        <w:t>.</w:t>
      </w:r>
      <w:r w:rsidR="008E5257">
        <w:rPr>
          <w:rFonts w:cs="Arial"/>
        </w:rPr>
        <w:t xml:space="preserve"> </w:t>
      </w:r>
      <w:r w:rsidR="000B47F4">
        <w:rPr>
          <w:rFonts w:cs="Arial"/>
        </w:rPr>
        <w:t xml:space="preserve">In a 2012 </w:t>
      </w:r>
      <w:r w:rsidR="008E5257" w:rsidRPr="00A057DE">
        <w:rPr>
          <w:rFonts w:cs="Arial"/>
        </w:rPr>
        <w:t>audit</w:t>
      </w:r>
      <w:r w:rsidR="000B47F4">
        <w:rPr>
          <w:rFonts w:cs="Arial"/>
        </w:rPr>
        <w:t xml:space="preserve"> </w:t>
      </w:r>
      <w:r w:rsidR="008E5257" w:rsidRPr="00A057DE">
        <w:rPr>
          <w:rFonts w:cs="Arial"/>
        </w:rPr>
        <w:t>of audible announcements on</w:t>
      </w:r>
      <w:r w:rsidR="000B47F4">
        <w:rPr>
          <w:rFonts w:cs="Arial"/>
        </w:rPr>
        <w:t xml:space="preserve"> Victorian</w:t>
      </w:r>
      <w:r w:rsidR="008E5257" w:rsidRPr="00A057DE">
        <w:rPr>
          <w:rFonts w:cs="Arial"/>
        </w:rPr>
        <w:t xml:space="preserve"> trains and trams</w:t>
      </w:r>
      <w:r w:rsidR="000B47F4">
        <w:rPr>
          <w:rFonts w:cs="Arial"/>
        </w:rPr>
        <w:t xml:space="preserve">, </w:t>
      </w:r>
      <w:r w:rsidR="000B47F4" w:rsidRPr="00A057DE">
        <w:rPr>
          <w:rFonts w:cs="Arial"/>
        </w:rPr>
        <w:t>Blind Citizens Australia</w:t>
      </w:r>
      <w:r w:rsidR="000B47F4">
        <w:rPr>
          <w:rFonts w:cs="Arial"/>
        </w:rPr>
        <w:t>, the peak body for blind and low vision consumers,</w:t>
      </w:r>
      <w:r w:rsidR="000B47F4" w:rsidRPr="00A057DE">
        <w:rPr>
          <w:rFonts w:cs="Arial"/>
        </w:rPr>
        <w:t xml:space="preserve"> </w:t>
      </w:r>
      <w:r w:rsidR="000B47F4">
        <w:rPr>
          <w:rFonts w:cs="Arial"/>
        </w:rPr>
        <w:t>reported a non-compliance rate of approximately 60%</w:t>
      </w:r>
      <w:r w:rsidR="008E5257">
        <w:rPr>
          <w:rFonts w:cs="Arial"/>
        </w:rPr>
        <w:t>.</w:t>
      </w:r>
      <w:r w:rsidR="008E5257">
        <w:rPr>
          <w:rStyle w:val="FootnoteReference"/>
          <w:rFonts w:cs="Arial"/>
        </w:rPr>
        <w:footnoteReference w:id="3"/>
      </w:r>
      <w:r w:rsidR="0031186F">
        <w:rPr>
          <w:rFonts w:cs="Arial"/>
        </w:rPr>
        <w:t xml:space="preserve"> </w:t>
      </w:r>
      <w:r w:rsidR="008E5257" w:rsidRPr="00725ECA">
        <w:rPr>
          <w:rFonts w:cs="Arial"/>
        </w:rPr>
        <w:t>Tactile Ground Surface Indicators</w:t>
      </w:r>
      <w:r w:rsidR="00B14B57">
        <w:rPr>
          <w:rFonts w:cs="Arial"/>
        </w:rPr>
        <w:t xml:space="preserve"> (TGSI)</w:t>
      </w:r>
      <w:r w:rsidR="00000905">
        <w:rPr>
          <w:rFonts w:cs="Arial"/>
        </w:rPr>
        <w:t>, which alert pedestrians</w:t>
      </w:r>
      <w:r w:rsidR="0031186F">
        <w:rPr>
          <w:rFonts w:cs="Arial"/>
        </w:rPr>
        <w:t xml:space="preserve"> </w:t>
      </w:r>
      <w:r w:rsidR="00FA29B4">
        <w:rPr>
          <w:rFonts w:cs="Arial"/>
        </w:rPr>
        <w:t>with vision loss</w:t>
      </w:r>
      <w:r w:rsidR="0031186F">
        <w:rPr>
          <w:rFonts w:cs="Arial"/>
        </w:rPr>
        <w:t xml:space="preserve"> to upcoming hazards, </w:t>
      </w:r>
      <w:r w:rsidR="008E5257" w:rsidRPr="006974EC">
        <w:rPr>
          <w:rFonts w:cs="Arial"/>
        </w:rPr>
        <w:t>are</w:t>
      </w:r>
      <w:r w:rsidR="00C964FB">
        <w:rPr>
          <w:rFonts w:cs="Arial"/>
        </w:rPr>
        <w:t xml:space="preserve"> also</w:t>
      </w:r>
      <w:r w:rsidR="008E5257" w:rsidRPr="006974EC">
        <w:rPr>
          <w:rFonts w:cs="Arial"/>
        </w:rPr>
        <w:t xml:space="preserve"> often not</w:t>
      </w:r>
      <w:r w:rsidR="0031186F">
        <w:rPr>
          <w:rFonts w:cs="Arial"/>
        </w:rPr>
        <w:t xml:space="preserve"> used consistently </w:t>
      </w:r>
      <w:r w:rsidR="00FA29B4">
        <w:rPr>
          <w:rFonts w:cs="Arial"/>
        </w:rPr>
        <w:t>or in line with current standards at train stations and bus stops.</w:t>
      </w:r>
      <w:r w:rsidR="008E5257" w:rsidRPr="00496A1C">
        <w:rPr>
          <w:rFonts w:cs="Arial"/>
        </w:rPr>
        <w:t xml:space="preserve"> </w:t>
      </w:r>
      <w:r w:rsidR="00C964FB">
        <w:rPr>
          <w:rFonts w:cs="Arial"/>
        </w:rPr>
        <w:t>Furthermore, many</w:t>
      </w:r>
      <w:r w:rsidR="008E5257" w:rsidRPr="006617E8">
        <w:rPr>
          <w:rFonts w:cs="Arial"/>
        </w:rPr>
        <w:t xml:space="preserve"> taxi drivers </w:t>
      </w:r>
      <w:r w:rsidR="00C964FB">
        <w:rPr>
          <w:rFonts w:cs="Arial"/>
        </w:rPr>
        <w:t>do not accept dog guides</w:t>
      </w:r>
      <w:r w:rsidR="008E5257" w:rsidRPr="006617E8">
        <w:rPr>
          <w:rFonts w:cs="Arial"/>
        </w:rPr>
        <w:t xml:space="preserve"> </w:t>
      </w:r>
      <w:r w:rsidR="00C964FB">
        <w:rPr>
          <w:rFonts w:cs="Arial"/>
        </w:rPr>
        <w:t>in their vehicles due to a lack of awareness of the role assistance dogs play in the lives of people who are blind or have low vision.</w:t>
      </w:r>
    </w:p>
    <w:p w:rsidR="005E337D" w:rsidRPr="008A7C1B" w:rsidRDefault="005E337D" w:rsidP="008A7C1B">
      <w:pPr>
        <w:rPr>
          <w:rFonts w:cs="Arial"/>
        </w:rPr>
      </w:pPr>
    </w:p>
    <w:p w:rsidR="00C819E2" w:rsidRPr="00E455C6" w:rsidRDefault="00C819E2" w:rsidP="00341D13">
      <w:pPr>
        <w:pStyle w:val="Heading3"/>
        <w:numPr>
          <w:ilvl w:val="0"/>
          <w:numId w:val="33"/>
        </w:numPr>
      </w:pPr>
      <w:bookmarkStart w:id="7" w:name="_Toc381268913"/>
      <w:r w:rsidRPr="00E455C6">
        <w:t>In what ways do Victorians with a disability participate in the economic, social and civil dimensions of society?</w:t>
      </w:r>
      <w:bookmarkEnd w:id="7"/>
    </w:p>
    <w:p w:rsidR="00E455C6" w:rsidRDefault="00E455C6" w:rsidP="00E455C6">
      <w:pPr>
        <w:pStyle w:val="ListParagraph"/>
        <w:ind w:left="1080"/>
        <w:rPr>
          <w:rFonts w:cs="Arial"/>
        </w:rPr>
      </w:pPr>
    </w:p>
    <w:p w:rsidR="00BB3604" w:rsidRDefault="00AA78DC" w:rsidP="009A220D">
      <w:pPr>
        <w:ind w:left="360"/>
        <w:rPr>
          <w:rFonts w:cs="Arial"/>
        </w:rPr>
      </w:pPr>
      <w:r>
        <w:rPr>
          <w:rFonts w:cs="Arial"/>
        </w:rPr>
        <w:t>Victorians</w:t>
      </w:r>
      <w:r w:rsidR="00302EC2" w:rsidRPr="0004155B">
        <w:rPr>
          <w:rFonts w:cs="Arial"/>
        </w:rPr>
        <w:t xml:space="preserve"> who </w:t>
      </w:r>
      <w:r w:rsidR="000145C5">
        <w:rPr>
          <w:rFonts w:cs="Arial"/>
        </w:rPr>
        <w:t>are blind or have low vision</w:t>
      </w:r>
      <w:r w:rsidR="00302EC2" w:rsidRPr="0004155B">
        <w:rPr>
          <w:rFonts w:cs="Arial"/>
        </w:rPr>
        <w:t xml:space="preserve"> participate in all aspects of life </w:t>
      </w:r>
      <w:r w:rsidR="0054736F">
        <w:rPr>
          <w:rFonts w:cs="Arial"/>
        </w:rPr>
        <w:t xml:space="preserve">when able to access </w:t>
      </w:r>
      <w:r w:rsidR="0004155B">
        <w:rPr>
          <w:rFonts w:cs="Arial"/>
        </w:rPr>
        <w:t xml:space="preserve">appropriate </w:t>
      </w:r>
      <w:r w:rsidR="005962FF">
        <w:rPr>
          <w:rFonts w:cs="Arial"/>
        </w:rPr>
        <w:t>specialist disability</w:t>
      </w:r>
      <w:r w:rsidR="00302EC2" w:rsidRPr="0004155B">
        <w:rPr>
          <w:rFonts w:cs="Arial"/>
        </w:rPr>
        <w:t xml:space="preserve"> s</w:t>
      </w:r>
      <w:r w:rsidR="00F371FF">
        <w:rPr>
          <w:rFonts w:cs="Arial"/>
        </w:rPr>
        <w:t>ervice</w:t>
      </w:r>
      <w:r w:rsidR="00302EC2" w:rsidRPr="0004155B">
        <w:rPr>
          <w:rFonts w:cs="Arial"/>
        </w:rPr>
        <w:t>s.</w:t>
      </w:r>
      <w:r w:rsidR="00D1306C">
        <w:rPr>
          <w:rFonts w:cs="Arial"/>
        </w:rPr>
        <w:t xml:space="preserve"> Vision Australia supports </w:t>
      </w:r>
      <w:r w:rsidR="00BB3604">
        <w:rPr>
          <w:rFonts w:cs="Arial"/>
        </w:rPr>
        <w:t xml:space="preserve">people who are blind or have low vision to find or maintain employment through its </w:t>
      </w:r>
      <w:r w:rsidR="00F371FF">
        <w:rPr>
          <w:rFonts w:cs="Arial"/>
        </w:rPr>
        <w:t>employment services. These services</w:t>
      </w:r>
      <w:r w:rsidR="00BB45E6">
        <w:rPr>
          <w:rFonts w:cs="Arial"/>
        </w:rPr>
        <w:t xml:space="preserve"> include</w:t>
      </w:r>
      <w:r w:rsidR="00BB3604">
        <w:rPr>
          <w:rFonts w:cs="Arial"/>
        </w:rPr>
        <w:t xml:space="preserve"> </w:t>
      </w:r>
      <w:r w:rsidR="00BB45E6">
        <w:rPr>
          <w:rFonts w:cs="Arial"/>
        </w:rPr>
        <w:t xml:space="preserve">career planning, </w:t>
      </w:r>
      <w:r w:rsidR="00BB45E6" w:rsidRPr="00BB3604">
        <w:rPr>
          <w:rFonts w:cs="Arial"/>
        </w:rPr>
        <w:t>workplace assessments</w:t>
      </w:r>
      <w:r w:rsidR="00F371FF">
        <w:rPr>
          <w:rFonts w:cs="Arial"/>
        </w:rPr>
        <w:t xml:space="preserve"> and modifications</w:t>
      </w:r>
      <w:r w:rsidR="00BB45E6">
        <w:rPr>
          <w:rFonts w:cs="Arial"/>
        </w:rPr>
        <w:t>,</w:t>
      </w:r>
      <w:r w:rsidR="00000905">
        <w:rPr>
          <w:rFonts w:cs="Arial"/>
        </w:rPr>
        <w:t xml:space="preserve"> and</w:t>
      </w:r>
      <w:r w:rsidR="00BB45E6">
        <w:rPr>
          <w:rFonts w:cs="Arial"/>
        </w:rPr>
        <w:t xml:space="preserve"> </w:t>
      </w:r>
      <w:r w:rsidR="00BB45E6" w:rsidRPr="00BB3604">
        <w:rPr>
          <w:rFonts w:cs="Arial"/>
        </w:rPr>
        <w:t xml:space="preserve">on the job </w:t>
      </w:r>
      <w:r w:rsidR="00BB45E6">
        <w:rPr>
          <w:rFonts w:cs="Arial"/>
        </w:rPr>
        <w:t xml:space="preserve">and </w:t>
      </w:r>
      <w:r w:rsidR="00BB45E6" w:rsidRPr="00BB3604">
        <w:rPr>
          <w:rFonts w:cs="Arial"/>
        </w:rPr>
        <w:t>adaptive technology training</w:t>
      </w:r>
      <w:r w:rsidR="00BB45E6">
        <w:rPr>
          <w:rFonts w:cs="Arial"/>
        </w:rPr>
        <w:t>.</w:t>
      </w:r>
    </w:p>
    <w:p w:rsidR="0054736F" w:rsidRDefault="0054736F" w:rsidP="00341D13">
      <w:pPr>
        <w:ind w:left="360"/>
        <w:rPr>
          <w:rFonts w:cs="Arial"/>
        </w:rPr>
      </w:pPr>
    </w:p>
    <w:p w:rsidR="0004155B" w:rsidRDefault="0054736F" w:rsidP="009A220D">
      <w:pPr>
        <w:ind w:left="360"/>
        <w:rPr>
          <w:rFonts w:cs="Arial"/>
        </w:rPr>
      </w:pPr>
      <w:r>
        <w:rPr>
          <w:rFonts w:cs="Arial"/>
        </w:rPr>
        <w:t xml:space="preserve">Similarly, through </w:t>
      </w:r>
      <w:r>
        <w:t>access to specialist support</w:t>
      </w:r>
      <w:r w:rsidR="00000905">
        <w:t>s</w:t>
      </w:r>
      <w:r>
        <w:t xml:space="preserve"> and resources </w:t>
      </w:r>
      <w:r w:rsidR="00000905">
        <w:t>Victorians</w:t>
      </w:r>
      <w:r w:rsidR="004B5EC9" w:rsidRPr="00C32BA2">
        <w:t xml:space="preserve"> with vision loss can</w:t>
      </w:r>
      <w:r>
        <w:t xml:space="preserve"> increase their economic potential by</w:t>
      </w:r>
      <w:r w:rsidR="004B5EC9" w:rsidRPr="00C32BA2">
        <w:t xml:space="preserve"> </w:t>
      </w:r>
      <w:r>
        <w:t>making</w:t>
      </w:r>
      <w:r w:rsidR="00C32BA2" w:rsidRPr="00C32BA2">
        <w:t xml:space="preserve"> the most of all educational opportunities</w:t>
      </w:r>
      <w:r w:rsidR="00C32BA2">
        <w:t xml:space="preserve">. Vision Australia </w:t>
      </w:r>
      <w:r w:rsidR="00C32BA2" w:rsidRPr="00C32BA2">
        <w:t>support</w:t>
      </w:r>
      <w:r w:rsidR="00C32BA2">
        <w:t>s families and</w:t>
      </w:r>
      <w:r w:rsidR="00C32BA2" w:rsidRPr="00C32BA2">
        <w:t xml:space="preserve"> children from birth </w:t>
      </w:r>
      <w:r w:rsidR="00415D9D">
        <w:t xml:space="preserve">through to school-leaving age by </w:t>
      </w:r>
      <w:r w:rsidR="00D027E6">
        <w:rPr>
          <w:lang w:val="en"/>
        </w:rPr>
        <w:t xml:space="preserve">helping them develop </w:t>
      </w:r>
      <w:r w:rsidR="000145C5">
        <w:rPr>
          <w:lang w:val="en"/>
        </w:rPr>
        <w:t>life</w:t>
      </w:r>
      <w:r w:rsidR="00415D9D">
        <w:rPr>
          <w:lang w:val="en"/>
        </w:rPr>
        <w:t xml:space="preserve"> skills, </w:t>
      </w:r>
      <w:r w:rsidR="00D027E6" w:rsidRPr="00415D9D">
        <w:rPr>
          <w:lang w:val="en"/>
        </w:rPr>
        <w:t>liai</w:t>
      </w:r>
      <w:r w:rsidR="00D027E6">
        <w:rPr>
          <w:lang w:val="en"/>
        </w:rPr>
        <w:t>sing</w:t>
      </w:r>
      <w:r w:rsidR="00D75F2C">
        <w:rPr>
          <w:lang w:val="en"/>
        </w:rPr>
        <w:t xml:space="preserve"> with educators, </w:t>
      </w:r>
      <w:r w:rsidR="00D027E6">
        <w:rPr>
          <w:lang w:val="en"/>
        </w:rPr>
        <w:t>and providing</w:t>
      </w:r>
      <w:r w:rsidR="00415D9D" w:rsidRPr="00415D9D">
        <w:rPr>
          <w:lang w:val="en"/>
        </w:rPr>
        <w:t xml:space="preserve"> orientation and mobility train</w:t>
      </w:r>
      <w:r w:rsidR="00B81EED">
        <w:rPr>
          <w:lang w:val="en"/>
        </w:rPr>
        <w:t xml:space="preserve">ing </w:t>
      </w:r>
      <w:r w:rsidR="001B3A30">
        <w:rPr>
          <w:lang w:val="en"/>
        </w:rPr>
        <w:t>and</w:t>
      </w:r>
      <w:r w:rsidR="00B81EED">
        <w:rPr>
          <w:lang w:val="en"/>
        </w:rPr>
        <w:t xml:space="preserve"> equipment advice. S</w:t>
      </w:r>
      <w:r w:rsidR="00415D9D" w:rsidRPr="00415D9D">
        <w:rPr>
          <w:lang w:val="en"/>
        </w:rPr>
        <w:t>tudent</w:t>
      </w:r>
      <w:r w:rsidR="00B81EED">
        <w:rPr>
          <w:lang w:val="en"/>
        </w:rPr>
        <w:t>s</w:t>
      </w:r>
      <w:r w:rsidR="00415D9D" w:rsidRPr="00415D9D">
        <w:rPr>
          <w:lang w:val="en"/>
        </w:rPr>
        <w:t xml:space="preserve"> </w:t>
      </w:r>
      <w:r w:rsidR="00B81EED">
        <w:rPr>
          <w:lang w:val="en"/>
        </w:rPr>
        <w:t>are supported as they progress in</w:t>
      </w:r>
      <w:r w:rsidR="00415D9D" w:rsidRPr="00415D9D">
        <w:rPr>
          <w:lang w:val="en"/>
        </w:rPr>
        <w:t xml:space="preserve"> school </w:t>
      </w:r>
      <w:r w:rsidR="00B81EED">
        <w:rPr>
          <w:lang w:val="en"/>
        </w:rPr>
        <w:t xml:space="preserve">through </w:t>
      </w:r>
      <w:r w:rsidR="00415D9D" w:rsidRPr="00415D9D">
        <w:rPr>
          <w:lang w:val="en"/>
        </w:rPr>
        <w:t xml:space="preserve">technology training and peer support programs. </w:t>
      </w:r>
      <w:r w:rsidR="006D4FCB">
        <w:rPr>
          <w:rFonts w:cs="Arial"/>
        </w:rPr>
        <w:t xml:space="preserve">Furthermore, Vision Australia </w:t>
      </w:r>
      <w:r w:rsidR="00B81EED">
        <w:rPr>
          <w:rFonts w:cs="Arial"/>
        </w:rPr>
        <w:t>assist</w:t>
      </w:r>
      <w:r w:rsidR="006D4FCB">
        <w:rPr>
          <w:rFonts w:cs="Arial"/>
        </w:rPr>
        <w:t>s tertiary students</w:t>
      </w:r>
      <w:r w:rsidR="00C32BA2">
        <w:rPr>
          <w:rFonts w:cs="Arial"/>
        </w:rPr>
        <w:t xml:space="preserve"> in a </w:t>
      </w:r>
      <w:r w:rsidR="00E84F9D">
        <w:rPr>
          <w:rFonts w:cs="Arial"/>
        </w:rPr>
        <w:t>variety</w:t>
      </w:r>
      <w:r w:rsidR="00C32BA2">
        <w:rPr>
          <w:rFonts w:cs="Arial"/>
        </w:rPr>
        <w:t xml:space="preserve"> of ways, </w:t>
      </w:r>
      <w:r w:rsidR="006D4FCB">
        <w:rPr>
          <w:rFonts w:cs="Arial"/>
        </w:rPr>
        <w:t>equipping the</w:t>
      </w:r>
      <w:r w:rsidR="004B5EC9">
        <w:rPr>
          <w:rFonts w:cs="Arial"/>
        </w:rPr>
        <w:t xml:space="preserve">m with self-advocacy skills and </w:t>
      </w:r>
      <w:r w:rsidR="006D4FCB">
        <w:rPr>
          <w:rFonts w:cs="Arial"/>
        </w:rPr>
        <w:t xml:space="preserve">information </w:t>
      </w:r>
      <w:r w:rsidR="001B3A30">
        <w:rPr>
          <w:rFonts w:cs="Arial"/>
        </w:rPr>
        <w:t>on their rights.</w:t>
      </w:r>
    </w:p>
    <w:p w:rsidR="0054736F" w:rsidRDefault="0054736F" w:rsidP="00341D13">
      <w:pPr>
        <w:ind w:left="360"/>
        <w:rPr>
          <w:rFonts w:cs="Arial"/>
        </w:rPr>
      </w:pPr>
    </w:p>
    <w:p w:rsidR="00812A9F" w:rsidRPr="00D57D39" w:rsidRDefault="0054736F" w:rsidP="009A220D">
      <w:pPr>
        <w:ind w:left="360"/>
      </w:pPr>
      <w:r>
        <w:rPr>
          <w:rFonts w:cs="Arial"/>
        </w:rPr>
        <w:lastRenderedPageBreak/>
        <w:t xml:space="preserve">Opportunities for social </w:t>
      </w:r>
      <w:r w:rsidR="00372E19">
        <w:rPr>
          <w:rFonts w:cs="Arial"/>
        </w:rPr>
        <w:t xml:space="preserve">participation are </w:t>
      </w:r>
      <w:r w:rsidR="00000905">
        <w:rPr>
          <w:rFonts w:cs="Arial"/>
        </w:rPr>
        <w:t xml:space="preserve">also </w:t>
      </w:r>
      <w:r w:rsidR="00D57D39">
        <w:rPr>
          <w:rFonts w:cs="Arial"/>
        </w:rPr>
        <w:t xml:space="preserve">readily </w:t>
      </w:r>
      <w:r w:rsidR="00372E19">
        <w:rPr>
          <w:rFonts w:cs="Arial"/>
        </w:rPr>
        <w:t>accessed by</w:t>
      </w:r>
      <w:r>
        <w:rPr>
          <w:rFonts w:cs="Arial"/>
        </w:rPr>
        <w:t xml:space="preserve"> p</w:t>
      </w:r>
      <w:r w:rsidR="002A208D">
        <w:rPr>
          <w:rFonts w:cs="Arial"/>
        </w:rPr>
        <w:t>eople who are blind or have low vision</w:t>
      </w:r>
      <w:r w:rsidR="006D4FCB">
        <w:rPr>
          <w:rFonts w:cs="Arial"/>
        </w:rPr>
        <w:t>.</w:t>
      </w:r>
      <w:r w:rsidR="00B81EED">
        <w:rPr>
          <w:rFonts w:cs="Arial"/>
        </w:rPr>
        <w:t xml:space="preserve"> </w:t>
      </w:r>
      <w:r w:rsidR="00D57D39">
        <w:rPr>
          <w:rFonts w:cs="Arial"/>
        </w:rPr>
        <w:t>A</w:t>
      </w:r>
      <w:r w:rsidR="00B81EED">
        <w:rPr>
          <w:rFonts w:cs="Arial"/>
        </w:rPr>
        <w:t>udio description</w:t>
      </w:r>
      <w:r w:rsidR="0091055E">
        <w:rPr>
          <w:rFonts w:cs="Arial"/>
        </w:rPr>
        <w:t>, which provides</w:t>
      </w:r>
      <w:r w:rsidR="00B81EED">
        <w:rPr>
          <w:rFonts w:cs="Arial"/>
        </w:rPr>
        <w:t xml:space="preserve"> </w:t>
      </w:r>
      <w:r w:rsidR="00B81EED">
        <w:t xml:space="preserve">verbal information about key visual elements, </w:t>
      </w:r>
      <w:r w:rsidR="00D57D39">
        <w:t>is available in selected</w:t>
      </w:r>
      <w:r w:rsidR="00812A9F">
        <w:t xml:space="preserve"> </w:t>
      </w:r>
      <w:r w:rsidR="00D57D39">
        <w:t>theatres</w:t>
      </w:r>
      <w:r w:rsidR="00812A9F">
        <w:t xml:space="preserve"> and cine</w:t>
      </w:r>
      <w:r w:rsidR="00D57D39">
        <w:t>mas</w:t>
      </w:r>
      <w:r w:rsidR="001B3A30">
        <w:t xml:space="preserve"> and</w:t>
      </w:r>
      <w:r w:rsidR="00D57D39">
        <w:t xml:space="preserve"> has </w:t>
      </w:r>
      <w:r w:rsidR="00000905">
        <w:t xml:space="preserve">allowed for </w:t>
      </w:r>
      <w:r w:rsidR="0091055E">
        <w:t>the</w:t>
      </w:r>
      <w:r w:rsidR="00812A9F">
        <w:t xml:space="preserve"> inclusion of people who are blind or have low vision in cultural and recreational life.</w:t>
      </w:r>
      <w:r w:rsidR="00D57D39">
        <w:t xml:space="preserve"> </w:t>
      </w:r>
      <w:r w:rsidR="001B3A30">
        <w:t xml:space="preserve"> </w:t>
      </w:r>
      <w:r w:rsidR="00E84F9D">
        <w:t>Victorians</w:t>
      </w:r>
      <w:r w:rsidR="001B3A30">
        <w:t xml:space="preserve"> who are blind or have low vision also participate in specialised s</w:t>
      </w:r>
      <w:r w:rsidR="00D57D39">
        <w:t>porting activities</w:t>
      </w:r>
      <w:r w:rsidR="001B3A30">
        <w:t>, including blind cricket and swish, a modified version of table tennis.</w:t>
      </w:r>
      <w:r w:rsidR="009D5C50">
        <w:t xml:space="preserve"> Australia is also represented by a number of blind athletes competing</w:t>
      </w:r>
      <w:r w:rsidR="001B3A30">
        <w:t xml:space="preserve"> in a variety of high profile </w:t>
      </w:r>
      <w:r w:rsidR="009D5C50">
        <w:t xml:space="preserve">Paralympic </w:t>
      </w:r>
      <w:r w:rsidR="001B3A30">
        <w:t xml:space="preserve">sports, such as swimming, athletics and </w:t>
      </w:r>
      <w:r w:rsidR="009D5C50">
        <w:t>alpine skiing.</w:t>
      </w:r>
    </w:p>
    <w:p w:rsidR="0091055E" w:rsidRDefault="0091055E" w:rsidP="009A220D">
      <w:pPr>
        <w:rPr>
          <w:rFonts w:cs="Arial"/>
        </w:rPr>
      </w:pPr>
    </w:p>
    <w:p w:rsidR="00B81EED" w:rsidRPr="00B81EED" w:rsidRDefault="009D5C50" w:rsidP="009A220D">
      <w:pPr>
        <w:ind w:left="360"/>
        <w:rPr>
          <w:rFonts w:cs="Arial"/>
        </w:rPr>
      </w:pPr>
      <w:r>
        <w:rPr>
          <w:rFonts w:cs="Arial"/>
        </w:rPr>
        <w:t xml:space="preserve">In regards to civil activities, the blindness and low vision community are active in a multitude of ways. </w:t>
      </w:r>
      <w:r w:rsidRPr="00AA78DC">
        <w:t xml:space="preserve">People who are blind or have low vision can vote through accessible means, </w:t>
      </w:r>
      <w:r w:rsidR="000600F2">
        <w:t>such as telephone and electronic voting systems</w:t>
      </w:r>
      <w:r w:rsidR="0091055E">
        <w:rPr>
          <w:rFonts w:cs="Arial"/>
        </w:rPr>
        <w:t>. C</w:t>
      </w:r>
      <w:r>
        <w:rPr>
          <w:rFonts w:cs="Arial"/>
        </w:rPr>
        <w:t>andidates</w:t>
      </w:r>
      <w:r w:rsidR="0091055E">
        <w:rPr>
          <w:rFonts w:cs="Arial"/>
        </w:rPr>
        <w:t xml:space="preserve"> who are blind or have low vision</w:t>
      </w:r>
      <w:r>
        <w:rPr>
          <w:rFonts w:cs="Arial"/>
        </w:rPr>
        <w:t xml:space="preserve"> have </w:t>
      </w:r>
      <w:r w:rsidR="00000905">
        <w:rPr>
          <w:rFonts w:cs="Arial"/>
        </w:rPr>
        <w:t xml:space="preserve">also </w:t>
      </w:r>
      <w:r>
        <w:rPr>
          <w:rFonts w:cs="Arial"/>
        </w:rPr>
        <w:t>run for political office in Federal</w:t>
      </w:r>
      <w:r w:rsidR="00757AA9">
        <w:rPr>
          <w:rFonts w:cs="Arial"/>
        </w:rPr>
        <w:t xml:space="preserve"> and</w:t>
      </w:r>
      <w:r>
        <w:rPr>
          <w:rFonts w:cs="Arial"/>
        </w:rPr>
        <w:t xml:space="preserve"> State</w:t>
      </w:r>
      <w:r w:rsidR="00757AA9">
        <w:rPr>
          <w:rFonts w:cs="Arial"/>
        </w:rPr>
        <w:t xml:space="preserve"> Government and</w:t>
      </w:r>
      <w:r>
        <w:rPr>
          <w:rFonts w:cs="Arial"/>
        </w:rPr>
        <w:t xml:space="preserve"> play active roles within their</w:t>
      </w:r>
      <w:r w:rsidR="00757AA9">
        <w:rPr>
          <w:rFonts w:cs="Arial"/>
        </w:rPr>
        <w:t xml:space="preserve"> local Governments and</w:t>
      </w:r>
      <w:r w:rsidR="00000905">
        <w:rPr>
          <w:rFonts w:cs="Arial"/>
        </w:rPr>
        <w:t xml:space="preserve"> communities </w:t>
      </w:r>
      <w:r w:rsidR="00BB6645">
        <w:rPr>
          <w:rFonts w:cs="Arial"/>
        </w:rPr>
        <w:t>by undertaking</w:t>
      </w:r>
      <w:r w:rsidR="0091055E">
        <w:rPr>
          <w:rFonts w:cs="Arial"/>
        </w:rPr>
        <w:t xml:space="preserve"> a variety of voluntary roles.</w:t>
      </w:r>
    </w:p>
    <w:p w:rsidR="00D40AEC" w:rsidRPr="00D40AEC" w:rsidRDefault="00D40AEC" w:rsidP="00D40AEC">
      <w:pPr>
        <w:rPr>
          <w:rFonts w:cs="Arial"/>
        </w:rPr>
      </w:pPr>
    </w:p>
    <w:p w:rsidR="004C4A4A" w:rsidRPr="00AA78DC" w:rsidRDefault="00C819E2" w:rsidP="00341D13">
      <w:pPr>
        <w:pStyle w:val="Heading3"/>
        <w:numPr>
          <w:ilvl w:val="0"/>
          <w:numId w:val="33"/>
        </w:numPr>
      </w:pPr>
      <w:bookmarkStart w:id="8" w:name="_Toc381268914"/>
      <w:r w:rsidRPr="00AA78DC">
        <w:t>What do you see as the emerging issues for Victorians with a disability over the next 20 years and how might these influence their social inclusion?</w:t>
      </w:r>
      <w:bookmarkEnd w:id="8"/>
    </w:p>
    <w:p w:rsidR="00325AB0" w:rsidRDefault="00325AB0" w:rsidP="00AA78DC"/>
    <w:p w:rsidR="00BB6645" w:rsidRDefault="00CE6E81" w:rsidP="009A220D">
      <w:pPr>
        <w:ind w:left="360"/>
      </w:pPr>
      <w:r>
        <w:t xml:space="preserve">Victorians who are blind or have low vision face a number of future challenges that may </w:t>
      </w:r>
      <w:r w:rsidR="00704311">
        <w:t xml:space="preserve">have an </w:t>
      </w:r>
      <w:r>
        <w:t>impact on their inclusion within society. For example, t</w:t>
      </w:r>
      <w:r w:rsidR="00BB6645">
        <w:t>he high rate of unemployment amongst Victorians who ar</w:t>
      </w:r>
      <w:r>
        <w:t xml:space="preserve">e blind or have low vision is </w:t>
      </w:r>
      <w:r w:rsidR="00BB6645">
        <w:t xml:space="preserve">likely to persist into the future unless employers are encouraged to </w:t>
      </w:r>
      <w:r>
        <w:t>hire</w:t>
      </w:r>
      <w:r w:rsidR="00BB6645" w:rsidRPr="00AA78DC">
        <w:t xml:space="preserve"> </w:t>
      </w:r>
      <w:r w:rsidR="00BB6645">
        <w:t>employees with vision loss. Australian Disability Enterprises</w:t>
      </w:r>
      <w:r w:rsidR="00A375BB">
        <w:t xml:space="preserve"> (ADE’s)</w:t>
      </w:r>
      <w:r w:rsidR="00BB6645">
        <w:t>, wh</w:t>
      </w:r>
      <w:r>
        <w:t>ich currently employ</w:t>
      </w:r>
      <w:r w:rsidR="00BB6645">
        <w:t xml:space="preserve"> many persons with disability, are currently under threat due to the decline in the manufacturing industry</w:t>
      </w:r>
      <w:r>
        <w:t xml:space="preserve">. </w:t>
      </w:r>
      <w:r w:rsidR="00A375BB">
        <w:t xml:space="preserve">Furthermore, ADE’s </w:t>
      </w:r>
      <w:r>
        <w:t xml:space="preserve">often do not </w:t>
      </w:r>
      <w:r w:rsidR="00A375BB">
        <w:t xml:space="preserve">support the transition </w:t>
      </w:r>
      <w:r w:rsidR="00704311">
        <w:t xml:space="preserve">of blind or </w:t>
      </w:r>
      <w:r>
        <w:t xml:space="preserve">low vision Victorians into </w:t>
      </w:r>
      <w:r w:rsidR="00BB6645" w:rsidRPr="003E4943">
        <w:t>open employment</w:t>
      </w:r>
      <w:r w:rsidR="00BB6645">
        <w:t xml:space="preserve"> in the public and private sector,</w:t>
      </w:r>
      <w:r w:rsidR="00BB6645" w:rsidRPr="003E4943">
        <w:t xml:space="preserve"> </w:t>
      </w:r>
      <w:r w:rsidR="00BB6645">
        <w:t>which offer</w:t>
      </w:r>
      <w:r w:rsidR="00BB6645" w:rsidRPr="003E4943">
        <w:t xml:space="preserve"> </w:t>
      </w:r>
      <w:r>
        <w:t xml:space="preserve">more </w:t>
      </w:r>
      <w:r w:rsidR="00BB6645" w:rsidRPr="003E4943">
        <w:rPr>
          <w:rFonts w:cs="Comic Sans MS"/>
          <w:color w:val="000000"/>
        </w:rPr>
        <w:t>competitive work</w:t>
      </w:r>
      <w:r w:rsidR="00BB6645">
        <w:rPr>
          <w:rFonts w:cs="Comic Sans MS"/>
          <w:color w:val="000000"/>
        </w:rPr>
        <w:t xml:space="preserve"> and pay conditions.</w:t>
      </w:r>
    </w:p>
    <w:p w:rsidR="00BB6645" w:rsidRDefault="00BB6645" w:rsidP="009A220D"/>
    <w:p w:rsidR="00AA78DC" w:rsidRDefault="00CE6E81" w:rsidP="009A220D">
      <w:pPr>
        <w:ind w:left="360"/>
      </w:pPr>
      <w:r>
        <w:t>Population growth is another emerging issue facing Victoria</w:t>
      </w:r>
      <w:r w:rsidR="00A80DBA">
        <w:t>ns with a disability</w:t>
      </w:r>
      <w:r>
        <w:t xml:space="preserve">. </w:t>
      </w:r>
      <w:r w:rsidR="00915BB4">
        <w:t xml:space="preserve">By 2034, </w:t>
      </w:r>
      <w:r w:rsidR="00BB6645">
        <w:t xml:space="preserve">the population of </w:t>
      </w:r>
      <w:r w:rsidR="00AA78DC">
        <w:t>Melbourne</w:t>
      </w:r>
      <w:r w:rsidR="00A80DBA">
        <w:t xml:space="preserve"> alone</w:t>
      </w:r>
      <w:r w:rsidR="00AA78DC">
        <w:t xml:space="preserve"> is predicted to </w:t>
      </w:r>
      <w:r w:rsidR="00BB6645">
        <w:t>increase</w:t>
      </w:r>
      <w:r w:rsidR="00915BB4">
        <w:t xml:space="preserve"> up to 8.4</w:t>
      </w:r>
      <w:r w:rsidR="00AA78DC">
        <w:t xml:space="preserve"> </w:t>
      </w:r>
      <w:r w:rsidR="00915BB4">
        <w:t>million</w:t>
      </w:r>
      <w:r w:rsidR="00915BB4">
        <w:rPr>
          <w:rStyle w:val="FootnoteReference"/>
        </w:rPr>
        <w:footnoteReference w:id="4"/>
      </w:r>
      <w:r w:rsidR="00915BB4">
        <w:t xml:space="preserve">. In order to accommodate </w:t>
      </w:r>
      <w:r w:rsidR="00A80DBA">
        <w:t>this number of people,</w:t>
      </w:r>
      <w:r w:rsidR="00915BB4">
        <w:t xml:space="preserve"> develop</w:t>
      </w:r>
      <w:r w:rsidR="00A80DBA">
        <w:t xml:space="preserve">ments will continue to </w:t>
      </w:r>
      <w:r w:rsidR="00915BB4">
        <w:t xml:space="preserve">spread further </w:t>
      </w:r>
      <w:r w:rsidR="00A80DBA">
        <w:t xml:space="preserve">out </w:t>
      </w:r>
      <w:r w:rsidR="00915BB4">
        <w:t>to increase</w:t>
      </w:r>
      <w:r w:rsidR="00A80DBA">
        <w:t xml:space="preserve"> the number of</w:t>
      </w:r>
      <w:r w:rsidR="00915BB4">
        <w:t xml:space="preserve"> low cost housing</w:t>
      </w:r>
      <w:r w:rsidR="0007098E">
        <w:t xml:space="preserve">.  </w:t>
      </w:r>
      <w:r w:rsidR="000600F2">
        <w:t>However, a</w:t>
      </w:r>
      <w:r w:rsidR="00915BB4">
        <w:t xml:space="preserve">ccessible and affordable transport options are less </w:t>
      </w:r>
      <w:r w:rsidR="0007098E">
        <w:t>abundant</w:t>
      </w:r>
      <w:r w:rsidR="00915BB4">
        <w:t xml:space="preserve"> in </w:t>
      </w:r>
      <w:r w:rsidR="0007098E">
        <w:t>outer suburban</w:t>
      </w:r>
      <w:r w:rsidR="00632837">
        <w:t xml:space="preserve"> and regional</w:t>
      </w:r>
      <w:r w:rsidR="00FE348A">
        <w:t xml:space="preserve"> areas. This </w:t>
      </w:r>
      <w:r w:rsidR="00E91611">
        <w:t>poses a challenge</w:t>
      </w:r>
      <w:r w:rsidR="0007098E">
        <w:t xml:space="preserve"> for people who are blind or have low vision, who as a d</w:t>
      </w:r>
      <w:r w:rsidR="00FE348A">
        <w:t xml:space="preserve">emographic are less likely to maintain meaningful employment </w:t>
      </w:r>
      <w:r w:rsidR="0007098E">
        <w:t>and</w:t>
      </w:r>
      <w:r w:rsidR="00FE348A">
        <w:t xml:space="preserve"> are</w:t>
      </w:r>
      <w:r w:rsidR="0007098E">
        <w:t xml:space="preserve"> more likely to require low cost housing alternatives. </w:t>
      </w:r>
    </w:p>
    <w:p w:rsidR="00AA78DC" w:rsidRDefault="00AA78DC" w:rsidP="009A220D"/>
    <w:p w:rsidR="001E60C2" w:rsidRDefault="0007098E" w:rsidP="009A220D">
      <w:pPr>
        <w:ind w:left="360"/>
      </w:pPr>
      <w:r>
        <w:lastRenderedPageBreak/>
        <w:t>It is also</w:t>
      </w:r>
      <w:r w:rsidR="00E91611">
        <w:t xml:space="preserve"> important that universal access</w:t>
      </w:r>
      <w:r>
        <w:t xml:space="preserve"> principles, which incorporate the accessibility needs of </w:t>
      </w:r>
      <w:r w:rsidR="00BB6645">
        <w:t>persons with disability</w:t>
      </w:r>
      <w:r>
        <w:t>, are kept front of mind in the design of new housing and infrastructure</w:t>
      </w:r>
      <w:r w:rsidR="00FE348A">
        <w:t xml:space="preserve"> being built within Victoria</w:t>
      </w:r>
      <w:r w:rsidR="00FE348A" w:rsidRPr="00AA5B6F">
        <w:t xml:space="preserve">. </w:t>
      </w:r>
      <w:r w:rsidR="001E60C2" w:rsidRPr="00AA5B6F">
        <w:t>For example</w:t>
      </w:r>
      <w:r w:rsidR="00A35623">
        <w:rPr>
          <w:b/>
        </w:rPr>
        <w:t xml:space="preserve">, </w:t>
      </w:r>
      <w:r w:rsidR="005D2C45" w:rsidRPr="00A35623">
        <w:rPr>
          <w:rFonts w:cs="Arial"/>
          <w:color w:val="222222"/>
          <w:lang w:val="en"/>
        </w:rPr>
        <w:t xml:space="preserve">a continuous </w:t>
      </w:r>
      <w:r w:rsidR="00A35623">
        <w:rPr>
          <w:rFonts w:cs="Arial"/>
          <w:color w:val="222222"/>
          <w:lang w:val="en"/>
        </w:rPr>
        <w:t xml:space="preserve">and unimpeded </w:t>
      </w:r>
      <w:r w:rsidR="005D2C45" w:rsidRPr="00A35623">
        <w:rPr>
          <w:rFonts w:cs="Arial"/>
          <w:color w:val="222222"/>
          <w:lang w:val="en"/>
        </w:rPr>
        <w:t>path of travel</w:t>
      </w:r>
      <w:r w:rsidR="00A35623">
        <w:rPr>
          <w:rFonts w:cs="Arial"/>
          <w:color w:val="222222"/>
          <w:lang w:val="en"/>
        </w:rPr>
        <w:t xml:space="preserve"> from the property boundary</w:t>
      </w:r>
      <w:r w:rsidR="005D2C45" w:rsidRPr="00A35623">
        <w:rPr>
          <w:rFonts w:cs="Arial"/>
          <w:color w:val="222222"/>
          <w:lang w:val="en"/>
        </w:rPr>
        <w:t xml:space="preserve"> to a level entrance</w:t>
      </w:r>
      <w:r w:rsidR="00A35623">
        <w:rPr>
          <w:rFonts w:cs="Arial"/>
          <w:color w:val="222222"/>
          <w:lang w:val="en"/>
        </w:rPr>
        <w:t xml:space="preserve"> facilitates easy movement for people who are blind or have low vision and use a long white cane. </w:t>
      </w:r>
      <w:r w:rsidR="00BB6645">
        <w:rPr>
          <w:rFonts w:cs="Arial"/>
          <w:color w:val="222222"/>
          <w:lang w:val="en"/>
        </w:rPr>
        <w:t>S</w:t>
      </w:r>
      <w:r w:rsidR="00A35623">
        <w:rPr>
          <w:rFonts w:cs="Arial"/>
          <w:color w:val="222222"/>
          <w:lang w:val="en"/>
        </w:rPr>
        <w:t xml:space="preserve">uch features are </w:t>
      </w:r>
      <w:r w:rsidR="00AA5B6F">
        <w:rPr>
          <w:rFonts w:cs="Arial"/>
          <w:color w:val="222222"/>
          <w:lang w:val="en"/>
        </w:rPr>
        <w:t xml:space="preserve">equally beneficial </w:t>
      </w:r>
      <w:r w:rsidR="00704311">
        <w:rPr>
          <w:rFonts w:cs="Arial"/>
          <w:color w:val="222222"/>
          <w:lang w:val="en"/>
        </w:rPr>
        <w:t xml:space="preserve">for people who have </w:t>
      </w:r>
      <w:proofErr w:type="gramStart"/>
      <w:r w:rsidR="00704311">
        <w:rPr>
          <w:rFonts w:cs="Arial"/>
          <w:color w:val="222222"/>
          <w:lang w:val="en"/>
        </w:rPr>
        <w:t>a mobility</w:t>
      </w:r>
      <w:proofErr w:type="gramEnd"/>
      <w:r w:rsidR="00704311">
        <w:rPr>
          <w:rFonts w:cs="Arial"/>
          <w:color w:val="222222"/>
          <w:lang w:val="en"/>
        </w:rPr>
        <w:t xml:space="preserve"> impairment and </w:t>
      </w:r>
      <w:r w:rsidR="00BB6645">
        <w:rPr>
          <w:rFonts w:cs="Arial"/>
          <w:color w:val="222222"/>
          <w:lang w:val="en"/>
        </w:rPr>
        <w:t>the community in general.</w:t>
      </w:r>
      <w:r w:rsidR="00A35623" w:rsidRPr="00A35623">
        <w:rPr>
          <w:rFonts w:cs="Arial"/>
          <w:color w:val="222222"/>
          <w:lang w:val="en"/>
        </w:rPr>
        <w:t xml:space="preserve"> </w:t>
      </w:r>
    </w:p>
    <w:p w:rsidR="001E60C2" w:rsidRDefault="001E60C2" w:rsidP="009A220D"/>
    <w:p w:rsidR="004C4A4A" w:rsidRPr="00D85A31" w:rsidRDefault="00FE348A" w:rsidP="009A220D">
      <w:pPr>
        <w:ind w:left="360"/>
      </w:pPr>
      <w:r>
        <w:t>U</w:t>
      </w:r>
      <w:r w:rsidRPr="00AA78DC">
        <w:t xml:space="preserve">niversal </w:t>
      </w:r>
      <w:r w:rsidR="00E91611">
        <w:t>design</w:t>
      </w:r>
      <w:r w:rsidRPr="00AA78DC">
        <w:t xml:space="preserve"> principles </w:t>
      </w:r>
      <w:r>
        <w:t xml:space="preserve">also need to be </w:t>
      </w:r>
      <w:r w:rsidR="0041404D">
        <w:t>considered</w:t>
      </w:r>
      <w:r>
        <w:t xml:space="preserve"> as technology </w:t>
      </w:r>
      <w:r w:rsidR="001B0237">
        <w:t>become</w:t>
      </w:r>
      <w:r w:rsidR="00BB6645">
        <w:t>s</w:t>
      </w:r>
      <w:r>
        <w:t xml:space="preserve"> more sophisticated. For example, </w:t>
      </w:r>
      <w:r w:rsidR="00A713D4" w:rsidRPr="00AA78DC">
        <w:t>touch screen interfaces are</w:t>
      </w:r>
      <w:r>
        <w:t xml:space="preserve"> being increasingly applied to household appliances, mobile phone</w:t>
      </w:r>
      <w:r w:rsidR="001E60C2">
        <w:t>s</w:t>
      </w:r>
      <w:r>
        <w:t xml:space="preserve"> and computer technology</w:t>
      </w:r>
      <w:r w:rsidR="001E60C2">
        <w:t xml:space="preserve">. However, </w:t>
      </w:r>
      <w:r w:rsidR="0030284A">
        <w:t>touchscreens</w:t>
      </w:r>
      <w:r w:rsidR="001E60C2">
        <w:t xml:space="preserve"> are inaccessible for people who are blind or have low vision, who </w:t>
      </w:r>
      <w:r w:rsidR="0030284A">
        <w:t>are often</w:t>
      </w:r>
      <w:r w:rsidR="001E60C2">
        <w:t xml:space="preserve"> unable to </w:t>
      </w:r>
      <w:r w:rsidR="0030284A">
        <w:t xml:space="preserve">determine the </w:t>
      </w:r>
      <w:r w:rsidR="00E91611">
        <w:t xml:space="preserve">touchscreen </w:t>
      </w:r>
      <w:r w:rsidR="0030284A">
        <w:t>trigger points, unless tactile or voice activated controls are available.</w:t>
      </w:r>
      <w:r w:rsidR="00E91611">
        <w:t xml:space="preserve"> It is important that accessibility is considered when such technology is adopted in public settings, such as shopping centres and public transport zones.</w:t>
      </w:r>
    </w:p>
    <w:p w:rsidR="004C4A4A" w:rsidRPr="004C4A4A" w:rsidRDefault="004C4A4A" w:rsidP="004C4A4A">
      <w:pPr>
        <w:rPr>
          <w:rFonts w:cs="Arial"/>
        </w:rPr>
      </w:pPr>
    </w:p>
    <w:p w:rsidR="00C819E2" w:rsidRPr="00FE348A" w:rsidRDefault="00C819E2" w:rsidP="00341D13">
      <w:pPr>
        <w:pStyle w:val="Heading3"/>
        <w:numPr>
          <w:ilvl w:val="0"/>
          <w:numId w:val="33"/>
        </w:numPr>
      </w:pPr>
      <w:bookmarkStart w:id="9" w:name="_Toc381268915"/>
      <w:r w:rsidRPr="00FE348A">
        <w:t>How effective have awareness campaign been in improving social inclusion for people with a disability in Victoria?</w:t>
      </w:r>
      <w:bookmarkEnd w:id="9"/>
    </w:p>
    <w:p w:rsidR="005F7A8F" w:rsidRDefault="005F7A8F" w:rsidP="005F7A8F">
      <w:pPr>
        <w:pStyle w:val="ListParagraph"/>
        <w:rPr>
          <w:rFonts w:cs="Arial"/>
          <w:color w:val="000000"/>
        </w:rPr>
      </w:pPr>
    </w:p>
    <w:p w:rsidR="00C567DA" w:rsidRDefault="00FE348A" w:rsidP="00341D13">
      <w:pPr>
        <w:pStyle w:val="ListParagraph"/>
        <w:ind w:left="360"/>
        <w:rPr>
          <w:rFonts w:cs="Arial"/>
          <w:color w:val="000000"/>
        </w:rPr>
      </w:pPr>
      <w:r>
        <w:rPr>
          <w:rFonts w:cs="Arial"/>
          <w:color w:val="000000"/>
        </w:rPr>
        <w:t>No comment</w:t>
      </w:r>
    </w:p>
    <w:p w:rsidR="00C567DA" w:rsidRPr="0082707F" w:rsidRDefault="00C567DA" w:rsidP="0082707F">
      <w:pPr>
        <w:rPr>
          <w:rFonts w:cs="Arial"/>
        </w:rPr>
      </w:pPr>
    </w:p>
    <w:p w:rsidR="00C819E2" w:rsidRPr="005F7A8F" w:rsidRDefault="00C819E2" w:rsidP="00341D13">
      <w:pPr>
        <w:pStyle w:val="Heading3"/>
        <w:numPr>
          <w:ilvl w:val="0"/>
          <w:numId w:val="33"/>
        </w:numPr>
      </w:pPr>
      <w:bookmarkStart w:id="10" w:name="_Toc381268916"/>
      <w:r w:rsidRPr="005F7A8F">
        <w:t>How can social inclusion and the participation of people in the community be effectively measured?</w:t>
      </w:r>
      <w:bookmarkEnd w:id="10"/>
    </w:p>
    <w:p w:rsidR="00C567DA" w:rsidRDefault="00C567DA" w:rsidP="00C567DA">
      <w:pPr>
        <w:pStyle w:val="ListParagraph"/>
        <w:rPr>
          <w:rFonts w:cs="Arial"/>
        </w:rPr>
      </w:pPr>
    </w:p>
    <w:p w:rsidR="00E246C7" w:rsidRDefault="00E246C7" w:rsidP="009A220D">
      <w:pPr>
        <w:ind w:left="360"/>
      </w:pPr>
      <w:r>
        <w:t>In order t</w:t>
      </w:r>
      <w:r w:rsidRPr="009F33CE">
        <w:t xml:space="preserve">o examine the ways in which social inclusion </w:t>
      </w:r>
      <w:r>
        <w:t>can be measured it is</w:t>
      </w:r>
      <w:r w:rsidRPr="009F33CE">
        <w:t xml:space="preserve"> first </w:t>
      </w:r>
      <w:r>
        <w:t>important</w:t>
      </w:r>
      <w:r w:rsidRPr="009F33CE">
        <w:t xml:space="preserve"> to understand the reasons why people feel excluded. </w:t>
      </w:r>
      <w:r>
        <w:t>Strategies</w:t>
      </w:r>
      <w:r w:rsidRPr="009F33CE">
        <w:t xml:space="preserve"> for</w:t>
      </w:r>
      <w:r>
        <w:t xml:space="preserve"> increasing</w:t>
      </w:r>
      <w:r w:rsidRPr="009F33CE">
        <w:t xml:space="preserve"> social inclusion </w:t>
      </w:r>
      <w:r>
        <w:t>are devised on the assumption</w:t>
      </w:r>
      <w:r w:rsidRPr="009F33CE">
        <w:t xml:space="preserve"> that</w:t>
      </w:r>
      <w:r>
        <w:t xml:space="preserve"> segments within society</w:t>
      </w:r>
      <w:r w:rsidRPr="009F33CE">
        <w:t xml:space="preserve"> </w:t>
      </w:r>
      <w:r>
        <w:t xml:space="preserve">experience exclusion and are focused on addressing the </w:t>
      </w:r>
      <w:r w:rsidRPr="009F33CE">
        <w:t>social problems</w:t>
      </w:r>
      <w:r>
        <w:t xml:space="preserve"> that cause social </w:t>
      </w:r>
      <w:r w:rsidRPr="009F33CE">
        <w:t>exclusion</w:t>
      </w:r>
      <w:r>
        <w:t>. A</w:t>
      </w:r>
      <w:r w:rsidRPr="009F33CE">
        <w:t xml:space="preserve"> 2007 report </w:t>
      </w:r>
      <w:r>
        <w:t>on</w:t>
      </w:r>
      <w:r w:rsidRPr="009F33CE">
        <w:t xml:space="preserve"> Social Inclusion and Exclusion in Northern Adelaide for the South Australian Department of Health identified that</w:t>
      </w:r>
      <w:r>
        <w:t xml:space="preserve"> </w:t>
      </w:r>
      <w:r w:rsidRPr="009F33CE">
        <w:t xml:space="preserve">social problems occur </w:t>
      </w:r>
      <w:r>
        <w:t xml:space="preserve">in the context of </w:t>
      </w:r>
      <w:r w:rsidRPr="009F33CE">
        <w:t>both cultural exc</w:t>
      </w:r>
      <w:r>
        <w:t xml:space="preserve">lusion and structural exclusion: </w:t>
      </w:r>
    </w:p>
    <w:p w:rsidR="00E246C7" w:rsidRDefault="00E246C7" w:rsidP="00E246C7"/>
    <w:p w:rsidR="00E246C7" w:rsidRPr="009F33CE" w:rsidRDefault="00E246C7" w:rsidP="009A220D">
      <w:pPr>
        <w:ind w:left="720"/>
      </w:pPr>
      <w:r>
        <w:t>People</w:t>
      </w:r>
      <w:r w:rsidRPr="009F33CE">
        <w:t xml:space="preserve"> living in poverty without the material resources to escape from their situation</w:t>
      </w:r>
      <w:r>
        <w:t xml:space="preserve"> </w:t>
      </w:r>
      <w:r w:rsidRPr="009F33CE">
        <w:t>are bombarded with messages through the media and the education system, which tell them that they live in a meritocracy where anyone can achieve what they want simply by trying. This is a process of relative deprivation whereby the poor come to see themselves as materially deprived in relation to the society of which they are a part. Such relative deprivation causes social exclusion through a subjective experience of inequality and unfairness as materially deprived people seek to obtain the unobtainable”</w:t>
      </w:r>
      <w:r>
        <w:rPr>
          <w:rStyle w:val="FootnoteReference"/>
        </w:rPr>
        <w:footnoteReference w:id="5"/>
      </w:r>
    </w:p>
    <w:p w:rsidR="00E246C7" w:rsidRDefault="00E246C7" w:rsidP="00E246C7">
      <w:pPr>
        <w:tabs>
          <w:tab w:val="left" w:pos="0"/>
        </w:tabs>
        <w:autoSpaceDE w:val="0"/>
        <w:autoSpaceDN w:val="0"/>
        <w:adjustRightInd w:val="0"/>
        <w:rPr>
          <w:rFonts w:ascii="LucidaSansUnicode" w:hAnsi="LucidaSansUnicode" w:cs="LucidaSansUnicode"/>
          <w:sz w:val="20"/>
          <w:szCs w:val="20"/>
        </w:rPr>
      </w:pPr>
    </w:p>
    <w:p w:rsidR="00C567DA" w:rsidRPr="00AC124B" w:rsidRDefault="00AC124B" w:rsidP="009A220D">
      <w:pPr>
        <w:tabs>
          <w:tab w:val="left" w:pos="0"/>
        </w:tabs>
        <w:autoSpaceDE w:val="0"/>
        <w:autoSpaceDN w:val="0"/>
        <w:adjustRightInd w:val="0"/>
        <w:ind w:left="360"/>
        <w:rPr>
          <w:rFonts w:cs="Arial"/>
        </w:rPr>
      </w:pPr>
      <w:r>
        <w:rPr>
          <w:rFonts w:cs="Arial"/>
        </w:rPr>
        <w:t>This understanding defines</w:t>
      </w:r>
      <w:r w:rsidR="00E246C7">
        <w:rPr>
          <w:rFonts w:cs="Arial"/>
        </w:rPr>
        <w:t xml:space="preserve"> social exclusion as the result of relative material deprivation</w:t>
      </w:r>
      <w:r>
        <w:rPr>
          <w:rFonts w:cs="Arial"/>
        </w:rPr>
        <w:t>. Thus,</w:t>
      </w:r>
      <w:r w:rsidR="00E246C7">
        <w:rPr>
          <w:rFonts w:cs="Arial"/>
        </w:rPr>
        <w:t xml:space="preserve"> social inclusion can be </w:t>
      </w:r>
      <w:r w:rsidR="00671643">
        <w:rPr>
          <w:rFonts w:cs="Arial"/>
        </w:rPr>
        <w:t xml:space="preserve">effectively </w:t>
      </w:r>
      <w:r w:rsidR="00E246C7">
        <w:rPr>
          <w:rFonts w:cs="Arial"/>
        </w:rPr>
        <w:t xml:space="preserve">measured </w:t>
      </w:r>
      <w:r>
        <w:rPr>
          <w:rFonts w:cs="Arial"/>
        </w:rPr>
        <w:t>by</w:t>
      </w:r>
      <w:r w:rsidR="00E246C7">
        <w:rPr>
          <w:rFonts w:cs="Arial"/>
        </w:rPr>
        <w:t xml:space="preserve"> </w:t>
      </w:r>
      <w:r>
        <w:rPr>
          <w:rFonts w:cs="Arial"/>
        </w:rPr>
        <w:t>testing</w:t>
      </w:r>
      <w:r w:rsidR="00E246C7">
        <w:rPr>
          <w:rFonts w:cs="Arial"/>
        </w:rPr>
        <w:t xml:space="preserve"> the list of </w:t>
      </w:r>
      <w:r w:rsidR="00671643">
        <w:rPr>
          <w:rFonts w:cs="Arial"/>
        </w:rPr>
        <w:t>economic, educational and social indicators</w:t>
      </w:r>
      <w:r w:rsidR="00E246C7">
        <w:rPr>
          <w:rFonts w:cs="Arial"/>
        </w:rPr>
        <w:t xml:space="preserve"> outlined by the </w:t>
      </w:r>
      <w:r>
        <w:rPr>
          <w:rFonts w:cs="Arial"/>
        </w:rPr>
        <w:t>BSL to establish average benchmarks and track improvements over time.</w:t>
      </w:r>
    </w:p>
    <w:p w:rsidR="00C567DA" w:rsidRPr="00C567DA" w:rsidRDefault="00C567DA" w:rsidP="00C567DA">
      <w:pPr>
        <w:pStyle w:val="ListParagraph"/>
        <w:rPr>
          <w:rFonts w:cs="Arial"/>
        </w:rPr>
      </w:pPr>
    </w:p>
    <w:p w:rsidR="00C819E2" w:rsidRPr="00B473CC" w:rsidRDefault="00C819E2" w:rsidP="00341D13">
      <w:pPr>
        <w:pStyle w:val="Heading3"/>
        <w:numPr>
          <w:ilvl w:val="0"/>
          <w:numId w:val="33"/>
        </w:numPr>
      </w:pPr>
      <w:bookmarkStart w:id="11" w:name="_Toc381268917"/>
      <w:r w:rsidRPr="00B473CC">
        <w:t>What tools can be used to determine if there have been improvements or changes in the levels of social inclusion for people with a disability over time?</w:t>
      </w:r>
      <w:bookmarkEnd w:id="11"/>
    </w:p>
    <w:p w:rsidR="00C819E2" w:rsidRPr="00B473CC" w:rsidRDefault="00C819E2" w:rsidP="00C819E2">
      <w:pPr>
        <w:rPr>
          <w:rFonts w:cs="Arial"/>
        </w:rPr>
      </w:pPr>
    </w:p>
    <w:p w:rsidR="00587CCA" w:rsidRDefault="00671643" w:rsidP="009A220D">
      <w:pPr>
        <w:ind w:left="360"/>
        <w:rPr>
          <w:rFonts w:cs="Arial"/>
          <w:lang w:val="en"/>
        </w:rPr>
      </w:pPr>
      <w:r>
        <w:rPr>
          <w:rFonts w:cs="Arial"/>
        </w:rPr>
        <w:t>As discussed above, t</w:t>
      </w:r>
      <w:r w:rsidR="00784F0F">
        <w:rPr>
          <w:rFonts w:cs="Arial"/>
        </w:rPr>
        <w:t>he primary method</w:t>
      </w:r>
      <w:r w:rsidR="00E246C7">
        <w:rPr>
          <w:rFonts w:cs="Arial"/>
        </w:rPr>
        <w:t xml:space="preserve"> used to determine </w:t>
      </w:r>
      <w:r w:rsidR="00784F0F">
        <w:rPr>
          <w:rFonts w:cs="Arial"/>
        </w:rPr>
        <w:t xml:space="preserve">any </w:t>
      </w:r>
      <w:r w:rsidR="00E246C7">
        <w:rPr>
          <w:rFonts w:cs="Arial"/>
        </w:rPr>
        <w:t xml:space="preserve">improvements in the social inclusion of people with a disability is </w:t>
      </w:r>
      <w:r>
        <w:rPr>
          <w:rFonts w:cs="Arial"/>
        </w:rPr>
        <w:t>track</w:t>
      </w:r>
      <w:r w:rsidR="00E246C7">
        <w:rPr>
          <w:rFonts w:cs="Arial"/>
        </w:rPr>
        <w:t xml:space="preserve"> movement</w:t>
      </w:r>
      <w:r>
        <w:rPr>
          <w:rFonts w:cs="Arial"/>
        </w:rPr>
        <w:t>s</w:t>
      </w:r>
      <w:r w:rsidR="00E246C7">
        <w:rPr>
          <w:rFonts w:cs="Arial"/>
        </w:rPr>
        <w:t xml:space="preserve"> in</w:t>
      </w:r>
      <w:r w:rsidR="00784F0F">
        <w:rPr>
          <w:rFonts w:cs="Arial"/>
        </w:rPr>
        <w:t xml:space="preserve"> the key</w:t>
      </w:r>
      <w:r w:rsidR="00784F0F" w:rsidRPr="00784F0F">
        <w:rPr>
          <w:rFonts w:cs="Arial"/>
        </w:rPr>
        <w:t xml:space="preserve"> </w:t>
      </w:r>
      <w:r w:rsidR="00784F0F">
        <w:rPr>
          <w:rFonts w:cs="Arial"/>
        </w:rPr>
        <w:t>indicators of social exclusion</w:t>
      </w:r>
      <w:r w:rsidR="00E246C7">
        <w:rPr>
          <w:rFonts w:cs="Arial"/>
        </w:rPr>
        <w:t xml:space="preserve"> </w:t>
      </w:r>
      <w:r>
        <w:rPr>
          <w:rFonts w:cs="Arial"/>
        </w:rPr>
        <w:t>over time</w:t>
      </w:r>
      <w:r w:rsidR="00E246C7">
        <w:rPr>
          <w:rFonts w:cs="Arial"/>
        </w:rPr>
        <w:t xml:space="preserve">. </w:t>
      </w:r>
      <w:r w:rsidR="00784F0F">
        <w:rPr>
          <w:rFonts w:cs="Arial"/>
        </w:rPr>
        <w:t xml:space="preserve">The </w:t>
      </w:r>
      <w:r w:rsidR="00587CCA">
        <w:rPr>
          <w:rFonts w:cs="Arial"/>
        </w:rPr>
        <w:t>BSL and</w:t>
      </w:r>
      <w:r w:rsidR="00E246C7">
        <w:rPr>
          <w:rFonts w:cs="Arial"/>
        </w:rPr>
        <w:t xml:space="preserve"> </w:t>
      </w:r>
      <w:r w:rsidR="00E246C7" w:rsidRPr="0031523F">
        <w:rPr>
          <w:rFonts w:cs="Arial"/>
          <w:lang w:val="en"/>
        </w:rPr>
        <w:t>Melbourne Institute of Applied Economic and Social Research (MIAESR)</w:t>
      </w:r>
      <w:r w:rsidR="00587CCA">
        <w:rPr>
          <w:rFonts w:cs="Arial"/>
          <w:lang w:val="en"/>
        </w:rPr>
        <w:t xml:space="preserve"> </w:t>
      </w:r>
      <w:r w:rsidR="001B4DBC">
        <w:rPr>
          <w:rFonts w:cs="Arial"/>
          <w:lang w:val="en"/>
        </w:rPr>
        <w:t xml:space="preserve">undertook a project to </w:t>
      </w:r>
      <w:r w:rsidR="00587CCA">
        <w:rPr>
          <w:rFonts w:cs="Arial"/>
          <w:lang w:val="en"/>
        </w:rPr>
        <w:t xml:space="preserve">determine the key indicators of social exclusion using longitudinal data from the </w:t>
      </w:r>
      <w:r w:rsidR="00587CCA" w:rsidRPr="00587CCA">
        <w:rPr>
          <w:rFonts w:cs="Arial"/>
          <w:bCs/>
        </w:rPr>
        <w:t>The Household, Income and Labour Dynamics in Australia (HILDA) Survey</w:t>
      </w:r>
      <w:r w:rsidR="00587CCA">
        <w:rPr>
          <w:rFonts w:cs="Arial"/>
          <w:bCs/>
        </w:rPr>
        <w:t xml:space="preserve">. This research led to the development of </w:t>
      </w:r>
      <w:r w:rsidR="00E246C7" w:rsidRPr="0031523F">
        <w:rPr>
          <w:rFonts w:cs="Arial"/>
          <w:lang w:val="en"/>
        </w:rPr>
        <w:t xml:space="preserve">seven </w:t>
      </w:r>
      <w:r w:rsidR="00587CCA">
        <w:rPr>
          <w:rFonts w:cs="Arial"/>
          <w:lang w:val="en"/>
        </w:rPr>
        <w:t>life domains of social exclusion</w:t>
      </w:r>
      <w:r w:rsidR="00E246C7" w:rsidRPr="0031523F">
        <w:rPr>
          <w:rFonts w:cs="Arial"/>
          <w:lang w:val="en"/>
        </w:rPr>
        <w:t>: material resources, employment, education and skills, health and disability, social connection, community and personal safety</w:t>
      </w:r>
      <w:r>
        <w:rPr>
          <w:rFonts w:cs="Arial"/>
          <w:lang w:val="en"/>
        </w:rPr>
        <w:t>.</w:t>
      </w:r>
      <w:r w:rsidR="00E246C7" w:rsidRPr="0031523F">
        <w:rPr>
          <w:rFonts w:cs="Arial"/>
          <w:lang w:val="en"/>
        </w:rPr>
        <w:t xml:space="preserve"> </w:t>
      </w:r>
    </w:p>
    <w:p w:rsidR="00587CCA" w:rsidRDefault="00587CCA" w:rsidP="00587CCA">
      <w:pPr>
        <w:rPr>
          <w:rFonts w:cs="Arial"/>
          <w:lang w:val="en"/>
        </w:rPr>
      </w:pPr>
    </w:p>
    <w:p w:rsidR="00E246C7" w:rsidRPr="00671643" w:rsidRDefault="00E246C7" w:rsidP="00FA46DE">
      <w:pPr>
        <w:ind w:left="720"/>
        <w:rPr>
          <w:rFonts w:cs="Arial"/>
        </w:rPr>
      </w:pPr>
      <w:r w:rsidRPr="00671643">
        <w:rPr>
          <w:rFonts w:cs="Arial"/>
          <w:lang w:val="en"/>
        </w:rPr>
        <w:t xml:space="preserve">Across these life domains we selected 30 key components of disadvantage that are measurable. These are called </w:t>
      </w:r>
      <w:r w:rsidRPr="00671643">
        <w:rPr>
          <w:rFonts w:cs="Arial"/>
          <w:bCs/>
          <w:lang w:val="en"/>
        </w:rPr>
        <w:t>indicators</w:t>
      </w:r>
      <w:r w:rsidRPr="00671643">
        <w:rPr>
          <w:rFonts w:cs="Arial"/>
          <w:lang w:val="en"/>
        </w:rPr>
        <w:t xml:space="preserve"> of social exclusion. Using these indicators we created a </w:t>
      </w:r>
      <w:r w:rsidRPr="00671643">
        <w:rPr>
          <w:rFonts w:cs="Arial"/>
          <w:bCs/>
          <w:lang w:val="en"/>
        </w:rPr>
        <w:t xml:space="preserve">composite measure </w:t>
      </w:r>
      <w:r w:rsidRPr="00671643">
        <w:rPr>
          <w:rFonts w:cs="Arial"/>
          <w:lang w:val="en"/>
        </w:rPr>
        <w:t>that allows us to measure an individual’s overall level of exclusion</w:t>
      </w:r>
      <w:r w:rsidRPr="00671643">
        <w:rPr>
          <w:rFonts w:cs="Arial"/>
          <w:color w:val="3E3E3E"/>
          <w:lang w:val="en"/>
        </w:rPr>
        <w:t>.</w:t>
      </w:r>
      <w:bookmarkStart w:id="12" w:name="indicatornote"/>
      <w:bookmarkEnd w:id="12"/>
      <w:r w:rsidRPr="00671643">
        <w:rPr>
          <w:rFonts w:cs="Arial"/>
          <w:color w:val="3E3E3E"/>
          <w:lang w:val="en"/>
        </w:rPr>
        <w:t>”</w:t>
      </w:r>
      <w:r w:rsidR="002E125F" w:rsidRPr="00671643">
        <w:rPr>
          <w:rStyle w:val="FootnoteReference"/>
          <w:rFonts w:cs="Arial"/>
          <w:color w:val="3E3E3E"/>
          <w:lang w:val="en"/>
        </w:rPr>
        <w:footnoteReference w:id="6"/>
      </w:r>
    </w:p>
    <w:p w:rsidR="00587CCA" w:rsidRDefault="00587CCA" w:rsidP="00E246C7">
      <w:pPr>
        <w:shd w:val="clear" w:color="auto" w:fill="FFFFFF"/>
        <w:spacing w:after="338"/>
        <w:ind w:right="521"/>
        <w:rPr>
          <w:rFonts w:cs="Arial"/>
          <w:lang w:val="en"/>
        </w:rPr>
      </w:pPr>
    </w:p>
    <w:p w:rsidR="00587CCA" w:rsidRDefault="00587CCA" w:rsidP="00E246C7">
      <w:pPr>
        <w:shd w:val="clear" w:color="auto" w:fill="FFFFFF"/>
        <w:spacing w:after="338"/>
        <w:ind w:right="521"/>
        <w:rPr>
          <w:rFonts w:cs="Arial"/>
          <w:lang w:val="en"/>
        </w:rPr>
      </w:pPr>
    </w:p>
    <w:p w:rsidR="00587CCA" w:rsidRDefault="00587CCA" w:rsidP="00E246C7">
      <w:pPr>
        <w:shd w:val="clear" w:color="auto" w:fill="FFFFFF"/>
        <w:spacing w:after="338"/>
        <w:ind w:right="521"/>
        <w:rPr>
          <w:rFonts w:cs="Arial"/>
          <w:lang w:val="en"/>
        </w:rPr>
      </w:pPr>
    </w:p>
    <w:p w:rsidR="00587CCA" w:rsidRDefault="00587CCA" w:rsidP="00E246C7">
      <w:pPr>
        <w:shd w:val="clear" w:color="auto" w:fill="FFFFFF"/>
        <w:spacing w:after="338"/>
        <w:ind w:right="521"/>
        <w:rPr>
          <w:rFonts w:cs="Arial"/>
          <w:lang w:val="en"/>
        </w:rPr>
      </w:pPr>
    </w:p>
    <w:p w:rsidR="00587CCA" w:rsidRDefault="00587CCA" w:rsidP="00E246C7">
      <w:pPr>
        <w:shd w:val="clear" w:color="auto" w:fill="FFFFFF"/>
        <w:spacing w:after="338"/>
        <w:ind w:right="521"/>
        <w:rPr>
          <w:rFonts w:cs="Arial"/>
          <w:lang w:val="en"/>
        </w:rPr>
      </w:pPr>
    </w:p>
    <w:p w:rsidR="001D1913" w:rsidRDefault="00E246C7" w:rsidP="00B473CC">
      <w:pPr>
        <w:shd w:val="clear" w:color="auto" w:fill="FFFFFF" w:themeFill="background1"/>
        <w:autoSpaceDE w:val="0"/>
        <w:autoSpaceDN w:val="0"/>
        <w:adjustRightInd w:val="0"/>
        <w:rPr>
          <w:rFonts w:cs="Arial"/>
          <w:b/>
        </w:rPr>
      </w:pPr>
      <w:r w:rsidRPr="00E246C7">
        <w:rPr>
          <w:noProof/>
        </w:rPr>
        <w:lastRenderedPageBreak/>
        <w:drawing>
          <wp:inline distT="0" distB="0" distL="0" distR="0">
            <wp:extent cx="4752975" cy="65176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6517640"/>
                    </a:xfrm>
                    <a:prstGeom prst="rect">
                      <a:avLst/>
                    </a:prstGeom>
                    <a:noFill/>
                    <a:ln>
                      <a:noFill/>
                    </a:ln>
                  </pic:spPr>
                </pic:pic>
              </a:graphicData>
            </a:graphic>
          </wp:inline>
        </w:drawing>
      </w:r>
    </w:p>
    <w:p w:rsidR="00587CCA" w:rsidRPr="002E125F" w:rsidRDefault="002E125F" w:rsidP="002E125F">
      <w:pPr>
        <w:shd w:val="clear" w:color="auto" w:fill="FFFFFF" w:themeFill="background1"/>
        <w:autoSpaceDE w:val="0"/>
        <w:autoSpaceDN w:val="0"/>
        <w:adjustRightInd w:val="0"/>
        <w:rPr>
          <w:rFonts w:cs="Arial"/>
          <w:b/>
          <w:i/>
          <w:sz w:val="20"/>
          <w:szCs w:val="20"/>
        </w:rPr>
      </w:pPr>
      <w:r w:rsidRPr="002E125F">
        <w:rPr>
          <w:rStyle w:val="Emphasis"/>
          <w:rFonts w:cs="Arial"/>
          <w:b/>
          <w:iCs w:val="0"/>
          <w:color w:val="3E3E3E"/>
          <w:sz w:val="20"/>
          <w:szCs w:val="20"/>
          <w:lang w:val="en"/>
        </w:rPr>
        <w:t>*</w:t>
      </w:r>
      <w:r w:rsidRPr="002E125F">
        <w:rPr>
          <w:rStyle w:val="Emphasis"/>
          <w:rFonts w:cs="Arial"/>
          <w:b/>
          <w:i w:val="0"/>
          <w:color w:val="3E3E3E"/>
          <w:sz w:val="20"/>
          <w:szCs w:val="20"/>
          <w:lang w:val="en"/>
        </w:rPr>
        <w:t xml:space="preserve"> Developed by </w:t>
      </w:r>
      <w:proofErr w:type="gramStart"/>
      <w:r w:rsidRPr="002E125F">
        <w:rPr>
          <w:rStyle w:val="Emphasis"/>
          <w:rFonts w:cs="Arial"/>
          <w:b/>
          <w:i w:val="0"/>
          <w:color w:val="3E3E3E"/>
          <w:sz w:val="20"/>
          <w:szCs w:val="20"/>
          <w:lang w:val="en"/>
        </w:rPr>
        <w:t>The</w:t>
      </w:r>
      <w:proofErr w:type="gramEnd"/>
      <w:r w:rsidRPr="002E125F">
        <w:rPr>
          <w:rStyle w:val="Emphasis"/>
          <w:rFonts w:cs="Arial"/>
          <w:b/>
          <w:i w:val="0"/>
          <w:color w:val="3E3E3E"/>
          <w:sz w:val="20"/>
          <w:szCs w:val="20"/>
          <w:lang w:val="en"/>
        </w:rPr>
        <w:t xml:space="preserve"> Brotherhood of St Laurence and the Melbourne Institute (2013)</w:t>
      </w:r>
      <w:r>
        <w:rPr>
          <w:rStyle w:val="FootnoteReference"/>
          <w:rFonts w:cs="Arial"/>
          <w:b/>
          <w:iCs/>
          <w:color w:val="3E3E3E"/>
          <w:sz w:val="20"/>
          <w:szCs w:val="20"/>
          <w:lang w:val="en"/>
        </w:rPr>
        <w:footnoteReference w:id="7"/>
      </w:r>
    </w:p>
    <w:p w:rsidR="00587CCA" w:rsidRPr="000834B1" w:rsidRDefault="00587CCA" w:rsidP="00FA46DE">
      <w:pPr>
        <w:shd w:val="clear" w:color="auto" w:fill="FFFFFF"/>
        <w:spacing w:before="240"/>
        <w:ind w:right="521"/>
        <w:rPr>
          <w:rFonts w:cs="Arial"/>
          <w:lang w:val="en"/>
        </w:rPr>
      </w:pPr>
      <w:r w:rsidRPr="000834B1">
        <w:rPr>
          <w:rFonts w:cs="Arial"/>
          <w:lang w:val="en"/>
        </w:rPr>
        <w:t xml:space="preserve">The table </w:t>
      </w:r>
      <w:r>
        <w:rPr>
          <w:rFonts w:cs="Arial"/>
          <w:lang w:val="en"/>
        </w:rPr>
        <w:t>above</w:t>
      </w:r>
      <w:r w:rsidRPr="000834B1">
        <w:rPr>
          <w:rFonts w:cs="Arial"/>
          <w:lang w:val="en"/>
        </w:rPr>
        <w:t xml:space="preserve"> </w:t>
      </w:r>
      <w:r>
        <w:rPr>
          <w:rFonts w:cs="Arial"/>
          <w:lang w:val="en"/>
        </w:rPr>
        <w:t>outlines the indices that Vision Australia</w:t>
      </w:r>
      <w:r w:rsidRPr="000834B1">
        <w:rPr>
          <w:rFonts w:cs="Arial"/>
          <w:lang w:val="en"/>
        </w:rPr>
        <w:t xml:space="preserve"> believe</w:t>
      </w:r>
      <w:r>
        <w:rPr>
          <w:rFonts w:cs="Arial"/>
          <w:lang w:val="en"/>
        </w:rPr>
        <w:t>s</w:t>
      </w:r>
      <w:r w:rsidRPr="000834B1">
        <w:rPr>
          <w:rFonts w:cs="Arial"/>
          <w:lang w:val="en"/>
        </w:rPr>
        <w:t xml:space="preserve"> can </w:t>
      </w:r>
      <w:r>
        <w:rPr>
          <w:rFonts w:cs="Arial"/>
          <w:lang w:val="en"/>
        </w:rPr>
        <w:t>be used to measure the degree to</w:t>
      </w:r>
      <w:r w:rsidRPr="000834B1">
        <w:rPr>
          <w:rFonts w:cs="Arial"/>
          <w:lang w:val="en"/>
        </w:rPr>
        <w:t xml:space="preserve"> which an individual is </w:t>
      </w:r>
      <w:r>
        <w:rPr>
          <w:rFonts w:cs="Arial"/>
          <w:lang w:val="en"/>
        </w:rPr>
        <w:t>socially included and may</w:t>
      </w:r>
      <w:r w:rsidRPr="000834B1">
        <w:rPr>
          <w:rFonts w:cs="Arial"/>
          <w:lang w:val="en"/>
        </w:rPr>
        <w:t xml:space="preserve"> be used to measure improvements in an individual’s position over time. This coupled with our response to section 7 question 2 provides a framework for consideration where actions undertaken by any level of government to create </w:t>
      </w:r>
      <w:r w:rsidRPr="000834B1">
        <w:rPr>
          <w:rFonts w:cs="Arial"/>
          <w:lang w:val="en"/>
        </w:rPr>
        <w:lastRenderedPageBreak/>
        <w:t>better inclusion can be measured.</w:t>
      </w:r>
      <w:r>
        <w:rPr>
          <w:rFonts w:cs="Arial"/>
          <w:lang w:val="en"/>
        </w:rPr>
        <w:t xml:space="preserve"> This can be undertaken by governments using the framework as an approach to syst</w:t>
      </w:r>
      <w:r w:rsidR="002E125F">
        <w:rPr>
          <w:rFonts w:cs="Arial"/>
          <w:lang w:val="en"/>
        </w:rPr>
        <w:t>ematically address the issues i</w:t>
      </w:r>
      <w:r>
        <w:rPr>
          <w:rFonts w:cs="Arial"/>
          <w:lang w:val="en"/>
        </w:rPr>
        <w:t>n the indices such as a “marginal attachment to employment” through the provision and funding of job readiness programs for people with a disability. This would assist people to find and keep a job which would</w:t>
      </w:r>
      <w:r w:rsidR="002E125F">
        <w:rPr>
          <w:rFonts w:cs="Arial"/>
          <w:lang w:val="en"/>
        </w:rPr>
        <w:t xml:space="preserve"> in turn</w:t>
      </w:r>
      <w:r>
        <w:rPr>
          <w:rFonts w:cs="Arial"/>
          <w:lang w:val="en"/>
        </w:rPr>
        <w:t xml:space="preserve"> influence other </w:t>
      </w:r>
      <w:r w:rsidR="002E125F">
        <w:rPr>
          <w:rFonts w:cs="Arial"/>
          <w:lang w:val="en"/>
        </w:rPr>
        <w:t>indicators,</w:t>
      </w:r>
      <w:r>
        <w:rPr>
          <w:rFonts w:cs="Arial"/>
          <w:lang w:val="en"/>
        </w:rPr>
        <w:t xml:space="preserve"> such as material resources.</w:t>
      </w:r>
    </w:p>
    <w:p w:rsidR="00587CCA" w:rsidRDefault="00587CCA" w:rsidP="00B473CC">
      <w:pPr>
        <w:shd w:val="clear" w:color="auto" w:fill="FFFFFF" w:themeFill="background1"/>
        <w:autoSpaceDE w:val="0"/>
        <w:autoSpaceDN w:val="0"/>
        <w:adjustRightInd w:val="0"/>
        <w:rPr>
          <w:rFonts w:cs="Arial"/>
          <w:b/>
        </w:rPr>
      </w:pPr>
    </w:p>
    <w:p w:rsidR="00587CCA" w:rsidRDefault="00587CCA" w:rsidP="00B473CC">
      <w:pPr>
        <w:shd w:val="clear" w:color="auto" w:fill="FFFFFF" w:themeFill="background1"/>
        <w:autoSpaceDE w:val="0"/>
        <w:autoSpaceDN w:val="0"/>
        <w:adjustRightInd w:val="0"/>
        <w:rPr>
          <w:rFonts w:cs="Arial"/>
          <w:b/>
        </w:rPr>
      </w:pPr>
    </w:p>
    <w:p w:rsidR="00B473CC" w:rsidRPr="00280D4B" w:rsidRDefault="00B473CC" w:rsidP="00E91611">
      <w:pPr>
        <w:pStyle w:val="Heading2"/>
      </w:pPr>
      <w:bookmarkStart w:id="13" w:name="_Toc381268918"/>
      <w:r w:rsidRPr="00280D4B">
        <w:t>Section 5</w:t>
      </w:r>
      <w:r w:rsidR="00280D4B" w:rsidRPr="00280D4B">
        <w:t xml:space="preserve"> </w:t>
      </w:r>
      <w:r w:rsidR="00280D4B">
        <w:t>–</w:t>
      </w:r>
      <w:r w:rsidR="00280D4B" w:rsidRPr="00280D4B">
        <w:t xml:space="preserve"> </w:t>
      </w:r>
      <w:r w:rsidR="00280D4B">
        <w:t>Disability Act 2006 (VIC)</w:t>
      </w:r>
      <w:bookmarkEnd w:id="13"/>
    </w:p>
    <w:p w:rsidR="00B473CC" w:rsidRPr="00B473CC" w:rsidRDefault="00B473CC" w:rsidP="00B473CC">
      <w:pPr>
        <w:shd w:val="clear" w:color="auto" w:fill="FFFFFF" w:themeFill="background1"/>
        <w:autoSpaceDE w:val="0"/>
        <w:autoSpaceDN w:val="0"/>
        <w:adjustRightInd w:val="0"/>
        <w:rPr>
          <w:rFonts w:cs="Arial"/>
        </w:rPr>
      </w:pPr>
    </w:p>
    <w:p w:rsidR="00B473CC" w:rsidRDefault="00B473CC" w:rsidP="00341D13">
      <w:pPr>
        <w:pStyle w:val="Heading3"/>
        <w:numPr>
          <w:ilvl w:val="0"/>
          <w:numId w:val="34"/>
        </w:numPr>
      </w:pPr>
      <w:bookmarkStart w:id="14" w:name="_Toc381268919"/>
      <w:r w:rsidRPr="00B473CC">
        <w:t>To what extent have the inclusion and participation of Victorians with a disability been advanced following the introduction of the Disability Act 2006 (Vic)?</w:t>
      </w:r>
      <w:bookmarkEnd w:id="14"/>
    </w:p>
    <w:p w:rsidR="00E91611" w:rsidRDefault="00E91611" w:rsidP="00490866">
      <w:pPr>
        <w:rPr>
          <w:rFonts w:cs="Arial"/>
        </w:rPr>
      </w:pPr>
    </w:p>
    <w:p w:rsidR="00490866" w:rsidRPr="00490866" w:rsidRDefault="00490866" w:rsidP="009A220D">
      <w:pPr>
        <w:ind w:left="360"/>
        <w:rPr>
          <w:rFonts w:cs="Arial"/>
        </w:rPr>
      </w:pPr>
      <w:r>
        <w:rPr>
          <w:rFonts w:cs="Arial"/>
        </w:rPr>
        <w:t>No comment</w:t>
      </w:r>
    </w:p>
    <w:p w:rsidR="00C567DA" w:rsidRPr="00C567DA" w:rsidRDefault="00C567DA" w:rsidP="00C567DA">
      <w:pPr>
        <w:rPr>
          <w:rFonts w:cs="Arial"/>
        </w:rPr>
      </w:pPr>
    </w:p>
    <w:p w:rsidR="00B473CC" w:rsidRPr="00B473CC" w:rsidRDefault="00B473CC" w:rsidP="00341D13">
      <w:pPr>
        <w:pStyle w:val="Heading3"/>
        <w:numPr>
          <w:ilvl w:val="0"/>
          <w:numId w:val="34"/>
        </w:numPr>
      </w:pPr>
      <w:bookmarkStart w:id="15" w:name="_Toc381268920"/>
      <w:r w:rsidRPr="00B473CC">
        <w:t>What impact has the Disability Act 2006 (Vic) had on the social inclusion of people with a disability with respect to Victorian government services?</w:t>
      </w:r>
      <w:bookmarkEnd w:id="15"/>
    </w:p>
    <w:p w:rsidR="00B473CC" w:rsidRPr="00B473CC" w:rsidRDefault="00B473CC" w:rsidP="00B473CC">
      <w:pPr>
        <w:rPr>
          <w:rFonts w:cs="Arial"/>
        </w:rPr>
      </w:pPr>
    </w:p>
    <w:p w:rsidR="00490866" w:rsidRPr="00490866" w:rsidRDefault="00490866" w:rsidP="009A220D">
      <w:pPr>
        <w:autoSpaceDE w:val="0"/>
        <w:autoSpaceDN w:val="0"/>
        <w:adjustRightInd w:val="0"/>
        <w:ind w:left="360"/>
        <w:rPr>
          <w:rFonts w:cs="Arial"/>
          <w:color w:val="000000"/>
        </w:rPr>
      </w:pPr>
      <w:r w:rsidRPr="00490866">
        <w:rPr>
          <w:rFonts w:cs="Arial"/>
          <w:color w:val="000000"/>
        </w:rPr>
        <w:t>No comment</w:t>
      </w:r>
    </w:p>
    <w:p w:rsidR="00490866" w:rsidRDefault="00490866" w:rsidP="00B473CC">
      <w:pPr>
        <w:autoSpaceDE w:val="0"/>
        <w:autoSpaceDN w:val="0"/>
        <w:adjustRightInd w:val="0"/>
        <w:rPr>
          <w:rFonts w:cs="Arial"/>
          <w:b/>
          <w:color w:val="000000"/>
        </w:rPr>
      </w:pPr>
    </w:p>
    <w:p w:rsidR="00B473CC" w:rsidRPr="00280D4B" w:rsidRDefault="00B473CC" w:rsidP="00E91611">
      <w:pPr>
        <w:pStyle w:val="Heading2"/>
      </w:pPr>
      <w:bookmarkStart w:id="16" w:name="_Toc381268921"/>
      <w:r w:rsidRPr="00280D4B">
        <w:t>Section 6</w:t>
      </w:r>
      <w:r w:rsidR="00280D4B" w:rsidRPr="00280D4B">
        <w:t xml:space="preserve"> </w:t>
      </w:r>
      <w:r w:rsidR="00280D4B">
        <w:t>–</w:t>
      </w:r>
      <w:r w:rsidR="00280D4B" w:rsidRPr="00280D4B">
        <w:t xml:space="preserve"> </w:t>
      </w:r>
      <w:r w:rsidR="00280D4B">
        <w:t>Victorian services for people with a disability</w:t>
      </w:r>
      <w:bookmarkEnd w:id="16"/>
    </w:p>
    <w:p w:rsidR="00E91611" w:rsidRDefault="00E91611" w:rsidP="00E91611">
      <w:pPr>
        <w:pStyle w:val="Heading2"/>
        <w:rPr>
          <w:rFonts w:eastAsia="Times New Roman" w:cs="Arial"/>
          <w:b w:val="0"/>
          <w:bCs w:val="0"/>
          <w:color w:val="000000"/>
          <w:szCs w:val="24"/>
        </w:rPr>
      </w:pPr>
    </w:p>
    <w:p w:rsidR="00B473CC" w:rsidRDefault="00B473CC" w:rsidP="00341D13">
      <w:pPr>
        <w:pStyle w:val="Heading3"/>
        <w:numPr>
          <w:ilvl w:val="0"/>
          <w:numId w:val="35"/>
        </w:numPr>
      </w:pPr>
      <w:bookmarkStart w:id="17" w:name="_Toc381268922"/>
      <w:r w:rsidRPr="00B473CC">
        <w:t>How effective are services and initiatives designed to enhance the social inclusion of Victorians with a disability?</w:t>
      </w:r>
      <w:bookmarkEnd w:id="17"/>
    </w:p>
    <w:p w:rsidR="00490866" w:rsidRDefault="00490866" w:rsidP="00490866">
      <w:pPr>
        <w:autoSpaceDE w:val="0"/>
        <w:autoSpaceDN w:val="0"/>
        <w:adjustRightInd w:val="0"/>
        <w:rPr>
          <w:rFonts w:cs="Arial"/>
          <w:color w:val="000000"/>
        </w:rPr>
      </w:pPr>
    </w:p>
    <w:p w:rsidR="00490866" w:rsidRDefault="00490866" w:rsidP="009A220D">
      <w:pPr>
        <w:autoSpaceDE w:val="0"/>
        <w:autoSpaceDN w:val="0"/>
        <w:adjustRightInd w:val="0"/>
        <w:ind w:left="360"/>
        <w:rPr>
          <w:rFonts w:cs="Arial"/>
          <w:color w:val="000000"/>
        </w:rPr>
      </w:pPr>
      <w:r>
        <w:rPr>
          <w:rFonts w:cs="Arial"/>
          <w:color w:val="000000"/>
        </w:rPr>
        <w:t>No Comment</w:t>
      </w:r>
    </w:p>
    <w:p w:rsidR="00490866" w:rsidRPr="00490866" w:rsidRDefault="00490866" w:rsidP="00490866">
      <w:pPr>
        <w:autoSpaceDE w:val="0"/>
        <w:autoSpaceDN w:val="0"/>
        <w:adjustRightInd w:val="0"/>
        <w:rPr>
          <w:rFonts w:cs="Arial"/>
          <w:color w:val="000000"/>
        </w:rPr>
      </w:pPr>
    </w:p>
    <w:p w:rsidR="00B473CC" w:rsidRDefault="00B473CC" w:rsidP="00341D13">
      <w:pPr>
        <w:pStyle w:val="Heading3"/>
        <w:numPr>
          <w:ilvl w:val="0"/>
          <w:numId w:val="35"/>
        </w:numPr>
      </w:pPr>
      <w:bookmarkStart w:id="18" w:name="_Toc381268923"/>
      <w:r w:rsidRPr="00B473CC">
        <w:t>What other sectors and sections of the community should have a greater role in improving the social inclusion of Victorians with a disability?</w:t>
      </w:r>
      <w:bookmarkEnd w:id="18"/>
    </w:p>
    <w:p w:rsidR="00490866" w:rsidRDefault="00490866" w:rsidP="00490866">
      <w:pPr>
        <w:pStyle w:val="ListParagraph"/>
        <w:autoSpaceDE w:val="0"/>
        <w:autoSpaceDN w:val="0"/>
        <w:adjustRightInd w:val="0"/>
        <w:rPr>
          <w:rFonts w:cs="Arial"/>
          <w:color w:val="000000"/>
        </w:rPr>
      </w:pPr>
    </w:p>
    <w:p w:rsidR="00490866" w:rsidRPr="00490866" w:rsidRDefault="00490866" w:rsidP="009A220D">
      <w:pPr>
        <w:autoSpaceDE w:val="0"/>
        <w:autoSpaceDN w:val="0"/>
        <w:adjustRightInd w:val="0"/>
        <w:ind w:left="360"/>
        <w:rPr>
          <w:rFonts w:cs="Arial"/>
          <w:color w:val="000000"/>
        </w:rPr>
      </w:pPr>
      <w:r>
        <w:rPr>
          <w:rFonts w:cs="Arial"/>
          <w:color w:val="000000"/>
        </w:rPr>
        <w:t>No comment</w:t>
      </w:r>
    </w:p>
    <w:p w:rsidR="00490866" w:rsidRDefault="00490866" w:rsidP="00490866">
      <w:pPr>
        <w:pStyle w:val="ListParagraph"/>
        <w:autoSpaceDE w:val="0"/>
        <w:autoSpaceDN w:val="0"/>
        <w:adjustRightInd w:val="0"/>
        <w:rPr>
          <w:rFonts w:cs="Arial"/>
          <w:color w:val="000000"/>
        </w:rPr>
      </w:pPr>
    </w:p>
    <w:p w:rsidR="009A220D" w:rsidRDefault="009A220D" w:rsidP="00490866">
      <w:pPr>
        <w:pStyle w:val="ListParagraph"/>
        <w:autoSpaceDE w:val="0"/>
        <w:autoSpaceDN w:val="0"/>
        <w:adjustRightInd w:val="0"/>
        <w:rPr>
          <w:rFonts w:cs="Arial"/>
          <w:color w:val="000000"/>
        </w:rPr>
      </w:pPr>
    </w:p>
    <w:p w:rsidR="009A220D" w:rsidRDefault="009A220D" w:rsidP="00490866">
      <w:pPr>
        <w:pStyle w:val="ListParagraph"/>
        <w:autoSpaceDE w:val="0"/>
        <w:autoSpaceDN w:val="0"/>
        <w:adjustRightInd w:val="0"/>
        <w:rPr>
          <w:rFonts w:cs="Arial"/>
          <w:color w:val="000000"/>
        </w:rPr>
      </w:pPr>
    </w:p>
    <w:p w:rsidR="00FA46DE" w:rsidRPr="00B473CC" w:rsidRDefault="00FA46DE" w:rsidP="00490866">
      <w:pPr>
        <w:pStyle w:val="ListParagraph"/>
        <w:autoSpaceDE w:val="0"/>
        <w:autoSpaceDN w:val="0"/>
        <w:adjustRightInd w:val="0"/>
        <w:rPr>
          <w:rFonts w:cs="Arial"/>
          <w:color w:val="000000"/>
        </w:rPr>
      </w:pPr>
    </w:p>
    <w:p w:rsidR="00B473CC" w:rsidRPr="001D1913" w:rsidRDefault="00B473CC" w:rsidP="00341D13">
      <w:pPr>
        <w:pStyle w:val="Heading3"/>
        <w:numPr>
          <w:ilvl w:val="0"/>
          <w:numId w:val="35"/>
        </w:numPr>
      </w:pPr>
      <w:bookmarkStart w:id="19" w:name="_Toc381268924"/>
      <w:r w:rsidRPr="001D1913">
        <w:lastRenderedPageBreak/>
        <w:t>Are there examples of good practice in advancing social inclusion and participation driven by local government and the community sector?</w:t>
      </w:r>
      <w:bookmarkEnd w:id="19"/>
    </w:p>
    <w:p w:rsidR="00B473CC" w:rsidRDefault="00B473CC" w:rsidP="00B473CC">
      <w:pPr>
        <w:autoSpaceDE w:val="0"/>
        <w:autoSpaceDN w:val="0"/>
        <w:adjustRightInd w:val="0"/>
        <w:rPr>
          <w:rFonts w:cs="Arial"/>
          <w:color w:val="000000"/>
        </w:rPr>
      </w:pPr>
    </w:p>
    <w:p w:rsidR="00DC2D51" w:rsidRPr="00DC2D51" w:rsidRDefault="00490866" w:rsidP="009A220D">
      <w:pPr>
        <w:ind w:left="360"/>
      </w:pPr>
      <w:r w:rsidRPr="00DC2D51">
        <w:t>Vision Australia</w:t>
      </w:r>
      <w:r w:rsidR="00A7484A" w:rsidRPr="00DC2D51">
        <w:t xml:space="preserve"> offers many examples of good practice </w:t>
      </w:r>
      <w:r w:rsidR="00DE3919">
        <w:t>in advancing social inclusion through</w:t>
      </w:r>
      <w:r w:rsidR="00A7484A" w:rsidRPr="00DC2D51">
        <w:t xml:space="preserve"> the </w:t>
      </w:r>
      <w:r w:rsidR="00D85A31">
        <w:t>services it provides to Victorians who are blind or have low vision</w:t>
      </w:r>
      <w:r w:rsidR="00A7484A" w:rsidRPr="00DC2D51">
        <w:t xml:space="preserve">. </w:t>
      </w:r>
      <w:r w:rsidR="00DC2D51">
        <w:t>Client c</w:t>
      </w:r>
      <w:r w:rsidR="00C76F4D" w:rsidRPr="00DC2D51">
        <w:t>onsultati</w:t>
      </w:r>
      <w:r w:rsidR="00DC2D51">
        <w:t xml:space="preserve">on </w:t>
      </w:r>
      <w:r w:rsidR="00C76F4D" w:rsidRPr="00DC2D51">
        <w:t>is at the core of Vision Australia’</w:t>
      </w:r>
      <w:r w:rsidR="00DC2D51">
        <w:t>s business</w:t>
      </w:r>
      <w:r w:rsidR="00C76F4D" w:rsidRPr="00DC2D51">
        <w:t xml:space="preserve"> </w:t>
      </w:r>
      <w:r w:rsidR="00704311">
        <w:t xml:space="preserve">operations </w:t>
      </w:r>
      <w:r w:rsidR="00C76F4D" w:rsidRPr="00DC2D51">
        <w:t xml:space="preserve">and </w:t>
      </w:r>
      <w:r w:rsidR="00A7484A" w:rsidRPr="00DC2D51">
        <w:t>is a</w:t>
      </w:r>
      <w:r w:rsidR="00C76F4D" w:rsidRPr="00DC2D51">
        <w:t xml:space="preserve"> conducted on</w:t>
      </w:r>
      <w:r w:rsidR="00A7484A" w:rsidRPr="00DC2D51">
        <w:t xml:space="preserve"> </w:t>
      </w:r>
      <w:r w:rsidR="00C76F4D" w:rsidRPr="00DC2D51">
        <w:t xml:space="preserve">a </w:t>
      </w:r>
      <w:r w:rsidR="00A7484A" w:rsidRPr="00DC2D51">
        <w:t xml:space="preserve">three-tiered system covering local, regional and organisation wide consultative groups.  </w:t>
      </w:r>
      <w:r w:rsidR="00C76F4D" w:rsidRPr="00DC2D51">
        <w:t xml:space="preserve">This client consultative framework </w:t>
      </w:r>
      <w:r w:rsidR="00A7484A" w:rsidRPr="00DC2D51">
        <w:t>encourage</w:t>
      </w:r>
      <w:r w:rsidR="00C76F4D" w:rsidRPr="00DC2D51">
        <w:t>s</w:t>
      </w:r>
      <w:r w:rsidR="00A7484A" w:rsidRPr="00DC2D51">
        <w:t xml:space="preserve"> strong connections</w:t>
      </w:r>
      <w:r w:rsidR="00DC2D51">
        <w:t xml:space="preserve"> between </w:t>
      </w:r>
      <w:r w:rsidR="00DC2D51" w:rsidRPr="00DC2D51">
        <w:t>clients and</w:t>
      </w:r>
      <w:r w:rsidR="00DC2D51">
        <w:t xml:space="preserve"> staff, with the feedback from clients being used to shape Vision Australia’s services and advocacy efforts. Furthermore, participation in client consultation groups </w:t>
      </w:r>
      <w:r w:rsidR="00DC2D51" w:rsidRPr="00DC2D51">
        <w:t xml:space="preserve">provides clients with the opportunity </w:t>
      </w:r>
      <w:r w:rsidR="00DC2D51">
        <w:t xml:space="preserve">to </w:t>
      </w:r>
      <w:r w:rsidR="00DC2D51" w:rsidRPr="00DC2D51">
        <w:t>make friends, share experiences and develop confidence and skills.</w:t>
      </w:r>
    </w:p>
    <w:p w:rsidR="00DC2D51" w:rsidRDefault="00DC2D51" w:rsidP="00B473CC">
      <w:pPr>
        <w:autoSpaceDE w:val="0"/>
        <w:autoSpaceDN w:val="0"/>
        <w:adjustRightInd w:val="0"/>
        <w:rPr>
          <w:color w:val="252525"/>
          <w:sz w:val="22"/>
          <w:szCs w:val="22"/>
          <w:lang w:val="en"/>
        </w:rPr>
      </w:pPr>
    </w:p>
    <w:p w:rsidR="00EE7A85" w:rsidRPr="000053C7" w:rsidRDefault="00D85A31" w:rsidP="00341D13">
      <w:pPr>
        <w:autoSpaceDE w:val="0"/>
        <w:autoSpaceDN w:val="0"/>
        <w:adjustRightInd w:val="0"/>
        <w:ind w:left="360"/>
        <w:rPr>
          <w:rFonts w:cs="Arial"/>
          <w:color w:val="000000"/>
        </w:rPr>
      </w:pPr>
      <w:r>
        <w:rPr>
          <w:rFonts w:cs="Arial"/>
          <w:color w:val="000000"/>
        </w:rPr>
        <w:t xml:space="preserve">Additionally, Vision Australia provides </w:t>
      </w:r>
      <w:r w:rsidR="00DC2D51">
        <w:rPr>
          <w:rFonts w:cs="Arial"/>
          <w:color w:val="000000"/>
        </w:rPr>
        <w:t>p</w:t>
      </w:r>
      <w:r w:rsidR="00AD5DE4">
        <w:rPr>
          <w:rFonts w:cs="Arial"/>
          <w:color w:val="000000"/>
        </w:rPr>
        <w:t>eer support and recreational services</w:t>
      </w:r>
      <w:r w:rsidR="006E6AC7">
        <w:rPr>
          <w:rFonts w:cs="Arial"/>
          <w:color w:val="000000"/>
        </w:rPr>
        <w:t xml:space="preserve"> to its clients to reduce the social isolation commonly experienced by people who are blind or have low vision.</w:t>
      </w:r>
      <w:r w:rsidR="000053C7">
        <w:rPr>
          <w:rFonts w:cs="Arial"/>
          <w:color w:val="000000"/>
        </w:rPr>
        <w:t xml:space="preserve"> </w:t>
      </w:r>
      <w:proofErr w:type="spellStart"/>
      <w:r w:rsidR="004905FE">
        <w:t>Telelink</w:t>
      </w:r>
      <w:proofErr w:type="spellEnd"/>
      <w:r w:rsidR="004905FE">
        <w:t xml:space="preserve"> is an </w:t>
      </w:r>
      <w:r w:rsidR="00EE7A85" w:rsidRPr="00EE7A85">
        <w:t>ongoing telephone based</w:t>
      </w:r>
      <w:r w:rsidR="004905FE">
        <w:t xml:space="preserve"> group program that is facilitated by volunteers</w:t>
      </w:r>
      <w:r w:rsidR="00EE7A85" w:rsidRPr="00EE7A85">
        <w:t xml:space="preserve"> via teleconference. It p</w:t>
      </w:r>
      <w:r w:rsidR="00704311">
        <w:t xml:space="preserve">rovides </w:t>
      </w:r>
      <w:r>
        <w:t xml:space="preserve">regular </w:t>
      </w:r>
      <w:r w:rsidR="00EE7A85" w:rsidRPr="00EE7A85">
        <w:t xml:space="preserve">social and peer support, </w:t>
      </w:r>
      <w:r>
        <w:t xml:space="preserve">as well as </w:t>
      </w:r>
      <w:r w:rsidR="00EE7A85" w:rsidRPr="00EE7A85">
        <w:t>special interest and recreation activities for people who are socially</w:t>
      </w:r>
      <w:r w:rsidR="004905FE">
        <w:t xml:space="preserve"> or geographically</w:t>
      </w:r>
      <w:r w:rsidR="00EE7A85" w:rsidRPr="00EE7A85">
        <w:t xml:space="preserve"> isolated.</w:t>
      </w:r>
      <w:r w:rsidR="000053C7">
        <w:rPr>
          <w:rFonts w:cs="Arial"/>
          <w:color w:val="000000"/>
        </w:rPr>
        <w:t xml:space="preserve"> Additionally, Vision Australia’s </w:t>
      </w:r>
      <w:r w:rsidR="00EE7A85" w:rsidRPr="00EE7A85">
        <w:t>Quality Living Groups provide a free, confidential and supportive environment</w:t>
      </w:r>
      <w:r w:rsidR="00704311">
        <w:t xml:space="preserve"> for people who are blind or have low vision</w:t>
      </w:r>
      <w:r w:rsidR="00EE7A85" w:rsidRPr="00EE7A85">
        <w:t xml:space="preserve"> to share ideas, strategies and information</w:t>
      </w:r>
      <w:r w:rsidR="004905FE">
        <w:t xml:space="preserve"> about coping</w:t>
      </w:r>
      <w:r w:rsidR="00704311">
        <w:t xml:space="preserve"> with vision loss. Opportunities to participate in r</w:t>
      </w:r>
      <w:r w:rsidR="000053C7">
        <w:t>ecreation</w:t>
      </w:r>
      <w:r w:rsidR="00704311">
        <w:t>al activities, such as</w:t>
      </w:r>
      <w:r w:rsidR="000053C7">
        <w:t xml:space="preserve"> </w:t>
      </w:r>
      <w:r w:rsidR="00EE7A85" w:rsidRPr="00EE7A85">
        <w:t>cooking, gardening, crafts,</w:t>
      </w:r>
      <w:r w:rsidR="000053C7">
        <w:t xml:space="preserve"> and</w:t>
      </w:r>
      <w:r w:rsidR="00EE7A85" w:rsidRPr="00EE7A85">
        <w:t xml:space="preserve"> sports</w:t>
      </w:r>
      <w:r w:rsidR="00704311">
        <w:t xml:space="preserve"> are also provided. </w:t>
      </w:r>
    </w:p>
    <w:p w:rsidR="00B473CC" w:rsidRDefault="00B473CC" w:rsidP="00B473CC">
      <w:pPr>
        <w:autoSpaceDE w:val="0"/>
        <w:autoSpaceDN w:val="0"/>
        <w:adjustRightInd w:val="0"/>
        <w:rPr>
          <w:rFonts w:cs="Arial"/>
          <w:color w:val="000000"/>
        </w:rPr>
      </w:pPr>
    </w:p>
    <w:p w:rsidR="00B473CC" w:rsidRDefault="004905FE" w:rsidP="00341D13">
      <w:pPr>
        <w:autoSpaceDE w:val="0"/>
        <w:autoSpaceDN w:val="0"/>
        <w:adjustRightInd w:val="0"/>
        <w:ind w:left="360"/>
        <w:rPr>
          <w:rFonts w:cs="Arial"/>
          <w:color w:val="000000"/>
        </w:rPr>
      </w:pPr>
      <w:r>
        <w:rPr>
          <w:rFonts w:cs="Arial"/>
          <w:color w:val="000000"/>
        </w:rPr>
        <w:t>Both the client consultation and peer support programs operated by Vision Australia are simple, but effective in reducing social isolation and increasing the quality of life and well-being of people who are blind or have low vision.</w:t>
      </w:r>
    </w:p>
    <w:p w:rsidR="00B473CC" w:rsidRDefault="00B473CC" w:rsidP="00B473CC">
      <w:pPr>
        <w:autoSpaceDE w:val="0"/>
        <w:autoSpaceDN w:val="0"/>
        <w:adjustRightInd w:val="0"/>
        <w:rPr>
          <w:rFonts w:cs="Arial"/>
          <w:color w:val="000000"/>
        </w:rPr>
      </w:pPr>
    </w:p>
    <w:p w:rsidR="00B473CC" w:rsidRDefault="00B473CC" w:rsidP="00987F3F">
      <w:pPr>
        <w:pStyle w:val="Heading2"/>
      </w:pPr>
      <w:bookmarkStart w:id="20" w:name="_Toc381268925"/>
      <w:r w:rsidRPr="00B473CC">
        <w:t>Section 7</w:t>
      </w:r>
      <w:r w:rsidR="00280D4B">
        <w:t xml:space="preserve"> – Role of Governments and collaboration</w:t>
      </w:r>
      <w:bookmarkEnd w:id="20"/>
    </w:p>
    <w:p w:rsidR="00B473CC" w:rsidRDefault="00B473CC" w:rsidP="00341D13">
      <w:pPr>
        <w:pStyle w:val="Heading3"/>
        <w:numPr>
          <w:ilvl w:val="0"/>
          <w:numId w:val="36"/>
        </w:numPr>
      </w:pPr>
      <w:bookmarkStart w:id="21" w:name="_Toc381268926"/>
      <w:r w:rsidRPr="00987F3F">
        <w:t>What needs to happen in the implementation of the National Disability Insurance Scheme to improve the social inclusion of Victorians with a disability into the future?</w:t>
      </w:r>
      <w:bookmarkEnd w:id="21"/>
    </w:p>
    <w:p w:rsidR="00987F3F" w:rsidRDefault="00987F3F" w:rsidP="00987F3F">
      <w:pPr>
        <w:autoSpaceDE w:val="0"/>
        <w:autoSpaceDN w:val="0"/>
        <w:adjustRightInd w:val="0"/>
        <w:ind w:left="360"/>
        <w:rPr>
          <w:rFonts w:cs="Arial"/>
          <w:b/>
        </w:rPr>
      </w:pPr>
    </w:p>
    <w:p w:rsidR="00F11161" w:rsidRPr="00F11161" w:rsidRDefault="00F11161" w:rsidP="00F11161">
      <w:pPr>
        <w:autoSpaceDE w:val="0"/>
        <w:autoSpaceDN w:val="0"/>
        <w:ind w:left="360"/>
      </w:pPr>
      <w:bookmarkStart w:id="22" w:name="_Toc381268927"/>
      <w:r w:rsidRPr="00F11161">
        <w:t xml:space="preserve">Vision Australia strongly supports the implementation of the NDIS and believes that it will have a positive effect on Victorians with a disability by ensuring a person-centred approach from all disability support agencies. One key issue for consideration by the National Disability Insurance Agency is the need for continued block funding of specific program areas that are often utilised by persons with disability, but are unlikely to be funded by an individual. Examples include Vision Australia’s peer support programs, the provision of information on blindness and low vision, and coordination of the nearly 4000 volunteers who help run the many free services Vision Australia provides, including radio and transport services. There may also be a need to block fund some services that will only by a small number of individuals in areas of regional Victoria.  If funding is limited to </w:t>
      </w:r>
      <w:proofErr w:type="gramStart"/>
      <w:r w:rsidRPr="00F11161">
        <w:t>individuals</w:t>
      </w:r>
      <w:proofErr w:type="gramEnd"/>
      <w:r w:rsidRPr="00F11161">
        <w:t xml:space="preserve"> packages there may not be a sufficient number of people to fund the provision of that service in a certain area. It would be highly detrimental to the social inclusion of people who are blind or have low vision if they do not have access to services such as accessibility or mobility, because of the area in which they live.</w:t>
      </w:r>
    </w:p>
    <w:p w:rsidR="00F11161" w:rsidRPr="00F11161" w:rsidRDefault="00F11161" w:rsidP="00F11161">
      <w:pPr>
        <w:autoSpaceDE w:val="0"/>
        <w:autoSpaceDN w:val="0"/>
        <w:ind w:left="360"/>
      </w:pPr>
    </w:p>
    <w:p w:rsidR="00F11161" w:rsidRPr="00F11161" w:rsidRDefault="00F11161" w:rsidP="00F11161">
      <w:pPr>
        <w:autoSpaceDE w:val="0"/>
        <w:autoSpaceDN w:val="0"/>
        <w:ind w:left="360"/>
      </w:pPr>
      <w:r w:rsidRPr="00F11161">
        <w:t>While some of these services are currently included in the second tier of NDIS supports, effective recognition and funding is required to preserve traditionally block funded programs that have a positive impact on the social inclusion of Victorians who are blind or have low vision. For this specific cohort, it would mean funding of information services, coordination of volunteers, peer support programs and dog guide development.</w:t>
      </w:r>
    </w:p>
    <w:p w:rsidR="002F3631" w:rsidRPr="00E246C7" w:rsidRDefault="002F3631" w:rsidP="002F3631">
      <w:pPr>
        <w:autoSpaceDE w:val="0"/>
        <w:autoSpaceDN w:val="0"/>
        <w:adjustRightInd w:val="0"/>
        <w:ind w:left="360"/>
        <w:rPr>
          <w:rFonts w:cs="Arial"/>
        </w:rPr>
      </w:pPr>
    </w:p>
    <w:p w:rsidR="005E337D" w:rsidRPr="00751D8A" w:rsidRDefault="00B473CC" w:rsidP="00751D8A">
      <w:pPr>
        <w:pStyle w:val="Heading3"/>
        <w:numPr>
          <w:ilvl w:val="0"/>
          <w:numId w:val="36"/>
        </w:numPr>
      </w:pPr>
      <w:r w:rsidRPr="001D1913">
        <w:t>What should be the role of governments and the community sector in increasing social inclusion for Victorians with a disability?</w:t>
      </w:r>
      <w:bookmarkEnd w:id="22"/>
    </w:p>
    <w:p w:rsidR="00E246C7" w:rsidRPr="00453E8E" w:rsidRDefault="00E246C7" w:rsidP="00E246C7">
      <w:pPr>
        <w:autoSpaceDE w:val="0"/>
        <w:autoSpaceDN w:val="0"/>
        <w:adjustRightInd w:val="0"/>
        <w:rPr>
          <w:rFonts w:cs="Arial"/>
          <w:color w:val="000000"/>
        </w:rPr>
      </w:pPr>
    </w:p>
    <w:p w:rsidR="00784F0F" w:rsidRDefault="00E246C7" w:rsidP="00751D8A">
      <w:pPr>
        <w:autoSpaceDE w:val="0"/>
        <w:autoSpaceDN w:val="0"/>
        <w:adjustRightInd w:val="0"/>
        <w:ind w:left="360"/>
        <w:rPr>
          <w:rFonts w:cs="Arial"/>
          <w:color w:val="000000"/>
        </w:rPr>
      </w:pPr>
      <w:r w:rsidRPr="00453E8E">
        <w:rPr>
          <w:rFonts w:cs="Arial"/>
          <w:color w:val="000000"/>
        </w:rPr>
        <w:t xml:space="preserve">The </w:t>
      </w:r>
      <w:r w:rsidR="00F1637B">
        <w:rPr>
          <w:rFonts w:cs="Arial"/>
          <w:color w:val="000000"/>
        </w:rPr>
        <w:t xml:space="preserve">Canadian Government’s Policy Research Institute (PRI) </w:t>
      </w:r>
      <w:r w:rsidRPr="00453E8E">
        <w:rPr>
          <w:rFonts w:cs="Arial"/>
          <w:color w:val="000000"/>
        </w:rPr>
        <w:t>has developed a</w:t>
      </w:r>
      <w:r w:rsidR="00751D8A">
        <w:rPr>
          <w:rFonts w:cs="Arial"/>
          <w:color w:val="000000"/>
        </w:rPr>
        <w:t>n innovative</w:t>
      </w:r>
      <w:r w:rsidRPr="00453E8E">
        <w:rPr>
          <w:rFonts w:cs="Arial"/>
          <w:color w:val="000000"/>
        </w:rPr>
        <w:t xml:space="preserve"> framework to </w:t>
      </w:r>
      <w:r w:rsidR="00F1637B">
        <w:rPr>
          <w:rFonts w:cs="Arial"/>
          <w:color w:val="000000"/>
        </w:rPr>
        <w:t>incorporate</w:t>
      </w:r>
      <w:r w:rsidRPr="00453E8E">
        <w:rPr>
          <w:rFonts w:cs="Arial"/>
          <w:color w:val="000000"/>
        </w:rPr>
        <w:t xml:space="preserve"> social capital</w:t>
      </w:r>
      <w:r w:rsidR="00F1637B">
        <w:rPr>
          <w:rFonts w:cs="Arial"/>
          <w:color w:val="000000"/>
        </w:rPr>
        <w:t xml:space="preserve"> </w:t>
      </w:r>
      <w:r w:rsidRPr="00453E8E">
        <w:rPr>
          <w:rFonts w:cs="Arial"/>
          <w:color w:val="000000"/>
        </w:rPr>
        <w:t>into policy and program development</w:t>
      </w:r>
      <w:r w:rsidR="00751D8A">
        <w:rPr>
          <w:rFonts w:cs="Arial"/>
          <w:color w:val="000000"/>
        </w:rPr>
        <w:t xml:space="preserve">. </w:t>
      </w:r>
      <w:r w:rsidR="00F1637B">
        <w:rPr>
          <w:rFonts w:cs="Arial"/>
        </w:rPr>
        <w:t>In this context, social capital</w:t>
      </w:r>
      <w:r w:rsidR="00F1637B" w:rsidRPr="00453E8E">
        <w:rPr>
          <w:rFonts w:cs="Arial"/>
        </w:rPr>
        <w:t xml:space="preserve"> refers to the networks of social relations that may provide individuals and groups with access to resources and supports</w:t>
      </w:r>
      <w:r w:rsidR="00F1637B">
        <w:rPr>
          <w:rFonts w:cs="Arial"/>
        </w:rPr>
        <w:t>.</w:t>
      </w:r>
      <w:r w:rsidR="00BB78BB">
        <w:rPr>
          <w:rStyle w:val="FootnoteReference"/>
          <w:rFonts w:cs="Arial"/>
        </w:rPr>
        <w:footnoteReference w:id="8"/>
      </w:r>
      <w:r w:rsidR="00F1637B" w:rsidRPr="00453E8E">
        <w:rPr>
          <w:rFonts w:cs="Arial"/>
          <w:color w:val="000000"/>
        </w:rPr>
        <w:t xml:space="preserve"> </w:t>
      </w:r>
      <w:r w:rsidR="00F1637B">
        <w:rPr>
          <w:rFonts w:cs="Arial"/>
          <w:color w:val="000000"/>
        </w:rPr>
        <w:t>F</w:t>
      </w:r>
      <w:r w:rsidRPr="00453E8E">
        <w:rPr>
          <w:rFonts w:cs="Arial"/>
          <w:color w:val="000000"/>
        </w:rPr>
        <w:t>our key approaches</w:t>
      </w:r>
      <w:r w:rsidR="00F1637B" w:rsidRPr="00F1637B">
        <w:rPr>
          <w:rFonts w:cs="Arial"/>
          <w:color w:val="000000"/>
        </w:rPr>
        <w:t xml:space="preserve"> </w:t>
      </w:r>
      <w:r w:rsidR="00F1637B">
        <w:rPr>
          <w:rFonts w:cs="Arial"/>
          <w:color w:val="000000"/>
        </w:rPr>
        <w:t>to incorporating</w:t>
      </w:r>
      <w:r w:rsidR="00F1637B" w:rsidRPr="00453E8E">
        <w:rPr>
          <w:rFonts w:cs="Arial"/>
          <w:color w:val="000000"/>
        </w:rPr>
        <w:t xml:space="preserve"> social capital into public poli</w:t>
      </w:r>
      <w:r w:rsidR="00F1637B">
        <w:rPr>
          <w:rFonts w:cs="Arial"/>
          <w:color w:val="000000"/>
        </w:rPr>
        <w:t xml:space="preserve">cy making were identified. These approaches vary dependant on </w:t>
      </w:r>
      <w:r w:rsidRPr="00453E8E">
        <w:rPr>
          <w:rFonts w:cs="Arial"/>
          <w:color w:val="000000"/>
        </w:rPr>
        <w:t>the</w:t>
      </w:r>
      <w:r>
        <w:rPr>
          <w:rFonts w:cs="Arial"/>
          <w:color w:val="000000"/>
        </w:rPr>
        <w:t xml:space="preserve"> </w:t>
      </w:r>
      <w:r w:rsidRPr="00453E8E">
        <w:rPr>
          <w:rFonts w:cs="Arial"/>
          <w:color w:val="000000"/>
        </w:rPr>
        <w:t>degree of direct government involvement and t</w:t>
      </w:r>
      <w:r w:rsidR="00EF260D">
        <w:rPr>
          <w:rFonts w:cs="Arial"/>
          <w:color w:val="000000"/>
        </w:rPr>
        <w:t xml:space="preserve">he issue concerned. Furthermore, they </w:t>
      </w:r>
      <w:r w:rsidRPr="00453E8E">
        <w:rPr>
          <w:rFonts w:cs="Arial"/>
          <w:color w:val="000000"/>
        </w:rPr>
        <w:t>provide</w:t>
      </w:r>
      <w:r w:rsidR="00751D8A">
        <w:rPr>
          <w:rFonts w:cs="Arial"/>
          <w:color w:val="000000"/>
        </w:rPr>
        <w:t xml:space="preserve"> a useful guide to how the Victorian Government and the community sector can</w:t>
      </w:r>
      <w:r>
        <w:rPr>
          <w:rFonts w:cs="Arial"/>
          <w:color w:val="000000"/>
        </w:rPr>
        <w:t xml:space="preserve"> work together to increase social</w:t>
      </w:r>
      <w:r w:rsidR="00751D8A">
        <w:rPr>
          <w:rFonts w:cs="Arial"/>
          <w:color w:val="000000"/>
        </w:rPr>
        <w:t xml:space="preserve"> inclusion</w:t>
      </w:r>
      <w:r>
        <w:rPr>
          <w:rStyle w:val="FootnoteReference"/>
          <w:rFonts w:cs="Arial"/>
          <w:color w:val="000000"/>
        </w:rPr>
        <w:footnoteReference w:id="9"/>
      </w:r>
      <w:r>
        <w:rPr>
          <w:rFonts w:cs="Arial"/>
          <w:color w:val="000000"/>
        </w:rPr>
        <w:t>:</w:t>
      </w:r>
    </w:p>
    <w:p w:rsidR="00751D8A" w:rsidRPr="003E4F65" w:rsidRDefault="00751D8A" w:rsidP="00751D8A">
      <w:pPr>
        <w:autoSpaceDE w:val="0"/>
        <w:autoSpaceDN w:val="0"/>
        <w:adjustRightInd w:val="0"/>
        <w:ind w:left="360"/>
        <w:rPr>
          <w:rFonts w:cs="Arial"/>
          <w:color w:val="000000"/>
        </w:rPr>
      </w:pPr>
    </w:p>
    <w:p w:rsidR="00784F0F" w:rsidRPr="00784F0F" w:rsidRDefault="00784F0F" w:rsidP="003E4F65">
      <w:pPr>
        <w:pStyle w:val="Heading2"/>
        <w:ind w:left="720"/>
      </w:pPr>
      <w:r>
        <w:t>Intervention methods:</w:t>
      </w:r>
    </w:p>
    <w:tbl>
      <w:tblPr>
        <w:tblStyle w:val="TableGrid"/>
        <w:tblW w:w="0" w:type="auto"/>
        <w:tblInd w:w="720" w:type="dxa"/>
        <w:tblLook w:val="04A0" w:firstRow="1" w:lastRow="0" w:firstColumn="1" w:lastColumn="0" w:noHBand="0" w:noVBand="1"/>
      </w:tblPr>
      <w:tblGrid>
        <w:gridCol w:w="2649"/>
        <w:gridCol w:w="5244"/>
      </w:tblGrid>
      <w:tr w:rsidR="00E246C7" w:rsidRPr="00A92C8C" w:rsidTr="00BD076C">
        <w:tc>
          <w:tcPr>
            <w:tcW w:w="2649" w:type="dxa"/>
          </w:tcPr>
          <w:p w:rsidR="00E246C7" w:rsidRPr="00A92C8C" w:rsidRDefault="00E246C7" w:rsidP="00BD076C">
            <w:pPr>
              <w:pStyle w:val="Heading2"/>
            </w:pPr>
            <w:r w:rsidRPr="00A92C8C">
              <w:t>Degree of influence</w:t>
            </w:r>
          </w:p>
        </w:tc>
        <w:tc>
          <w:tcPr>
            <w:tcW w:w="5244" w:type="dxa"/>
          </w:tcPr>
          <w:p w:rsidR="00E246C7" w:rsidRPr="00A92C8C" w:rsidRDefault="00E246C7" w:rsidP="00BD076C">
            <w:pPr>
              <w:pStyle w:val="Heading2"/>
            </w:pPr>
            <w:r w:rsidRPr="00A92C8C">
              <w:t>Option for intervention by government</w:t>
            </w:r>
          </w:p>
        </w:tc>
      </w:tr>
      <w:tr w:rsidR="00E246C7" w:rsidRPr="00453E8E" w:rsidTr="00BD076C">
        <w:trPr>
          <w:trHeight w:val="2256"/>
        </w:trPr>
        <w:tc>
          <w:tcPr>
            <w:tcW w:w="2649" w:type="dxa"/>
          </w:tcPr>
          <w:p w:rsidR="00E246C7" w:rsidRPr="00453E8E" w:rsidRDefault="00E246C7" w:rsidP="00BD076C">
            <w:pPr>
              <w:pStyle w:val="Heading2"/>
            </w:pPr>
            <w:r w:rsidRPr="00453E8E">
              <w:t>Direct</w:t>
            </w:r>
          </w:p>
        </w:tc>
        <w:tc>
          <w:tcPr>
            <w:tcW w:w="5244" w:type="dxa"/>
          </w:tcPr>
          <w:p w:rsidR="00E246C7" w:rsidRPr="00A92C8C" w:rsidRDefault="00E246C7" w:rsidP="00E246C7">
            <w:pPr>
              <w:pStyle w:val="ListParagraph"/>
              <w:numPr>
                <w:ilvl w:val="0"/>
                <w:numId w:val="38"/>
              </w:numPr>
              <w:autoSpaceDE w:val="0"/>
              <w:autoSpaceDN w:val="0"/>
              <w:adjustRightInd w:val="0"/>
              <w:rPr>
                <w:rFonts w:cs="Arial"/>
              </w:rPr>
            </w:pPr>
            <w:r w:rsidRPr="00A92C8C">
              <w:rPr>
                <w:rFonts w:cs="Arial"/>
              </w:rPr>
              <w:t>Build and support networks where relevant for specific program objectives</w:t>
            </w:r>
          </w:p>
          <w:p w:rsidR="00E246C7" w:rsidRPr="00453E8E" w:rsidRDefault="00E246C7" w:rsidP="00E246C7">
            <w:pPr>
              <w:pStyle w:val="ListParagraph"/>
              <w:numPr>
                <w:ilvl w:val="0"/>
                <w:numId w:val="38"/>
              </w:numPr>
              <w:autoSpaceDE w:val="0"/>
              <w:autoSpaceDN w:val="0"/>
              <w:adjustRightInd w:val="0"/>
              <w:rPr>
                <w:rFonts w:cs="Arial"/>
              </w:rPr>
            </w:pPr>
            <w:r w:rsidRPr="00453E8E">
              <w:rPr>
                <w:rFonts w:cs="Arial"/>
              </w:rPr>
              <w:t>Tap into existing networks to deliver services</w:t>
            </w:r>
          </w:p>
          <w:p w:rsidR="00E246C7" w:rsidRPr="00A92C8C" w:rsidRDefault="00E246C7" w:rsidP="00E246C7">
            <w:pPr>
              <w:pStyle w:val="ListParagraph"/>
              <w:numPr>
                <w:ilvl w:val="0"/>
                <w:numId w:val="38"/>
              </w:numPr>
              <w:autoSpaceDE w:val="0"/>
              <w:autoSpaceDN w:val="0"/>
              <w:adjustRightInd w:val="0"/>
              <w:rPr>
                <w:rFonts w:cs="Arial"/>
              </w:rPr>
            </w:pPr>
            <w:r w:rsidRPr="00A92C8C">
              <w:rPr>
                <w:rFonts w:cs="Arial"/>
              </w:rPr>
              <w:t>Establish favourable conditions for desired network formation and maintenance</w:t>
            </w:r>
          </w:p>
          <w:p w:rsidR="00E246C7" w:rsidRPr="00453E8E" w:rsidRDefault="00E246C7" w:rsidP="00BD076C">
            <w:pPr>
              <w:autoSpaceDE w:val="0"/>
              <w:autoSpaceDN w:val="0"/>
              <w:adjustRightInd w:val="0"/>
              <w:rPr>
                <w:rFonts w:cs="Arial"/>
              </w:rPr>
            </w:pPr>
          </w:p>
        </w:tc>
      </w:tr>
      <w:tr w:rsidR="00E246C7" w:rsidRPr="00453E8E" w:rsidTr="00BD076C">
        <w:tc>
          <w:tcPr>
            <w:tcW w:w="2649" w:type="dxa"/>
          </w:tcPr>
          <w:p w:rsidR="00E246C7" w:rsidRPr="00453E8E" w:rsidRDefault="00E246C7" w:rsidP="00BD076C">
            <w:pPr>
              <w:pStyle w:val="Heading2"/>
            </w:pPr>
            <w:r w:rsidRPr="00453E8E">
              <w:t>Indirect</w:t>
            </w:r>
          </w:p>
        </w:tc>
        <w:tc>
          <w:tcPr>
            <w:tcW w:w="5244" w:type="dxa"/>
          </w:tcPr>
          <w:p w:rsidR="00E246C7" w:rsidRPr="00A92C8C" w:rsidRDefault="00E246C7" w:rsidP="00E246C7">
            <w:pPr>
              <w:pStyle w:val="ListParagraph"/>
              <w:numPr>
                <w:ilvl w:val="0"/>
                <w:numId w:val="39"/>
              </w:numPr>
              <w:autoSpaceDE w:val="0"/>
              <w:autoSpaceDN w:val="0"/>
              <w:adjustRightInd w:val="0"/>
              <w:rPr>
                <w:rFonts w:cs="Arial"/>
              </w:rPr>
            </w:pPr>
            <w:r w:rsidRPr="00A92C8C">
              <w:rPr>
                <w:rFonts w:cs="Arial"/>
              </w:rPr>
              <w:t>Increase program sensitivity to existing social capital</w:t>
            </w:r>
          </w:p>
          <w:p w:rsidR="00E246C7" w:rsidRPr="00453E8E" w:rsidRDefault="00E246C7" w:rsidP="00BD076C">
            <w:pPr>
              <w:autoSpaceDE w:val="0"/>
              <w:autoSpaceDN w:val="0"/>
              <w:adjustRightInd w:val="0"/>
              <w:rPr>
                <w:rFonts w:cs="Arial"/>
              </w:rPr>
            </w:pPr>
          </w:p>
        </w:tc>
      </w:tr>
    </w:tbl>
    <w:p w:rsidR="00E246C7" w:rsidRDefault="00E246C7" w:rsidP="00E246C7">
      <w:pPr>
        <w:autoSpaceDE w:val="0"/>
        <w:autoSpaceDN w:val="0"/>
        <w:adjustRightInd w:val="0"/>
        <w:rPr>
          <w:rFonts w:cs="Arial"/>
        </w:rPr>
      </w:pPr>
    </w:p>
    <w:p w:rsidR="00751D8A" w:rsidRDefault="00751D8A" w:rsidP="00751D8A"/>
    <w:p w:rsidR="00751D8A" w:rsidRDefault="00751D8A" w:rsidP="00751D8A"/>
    <w:p w:rsidR="00E246C7" w:rsidRDefault="00E246C7" w:rsidP="00E246C7">
      <w:pPr>
        <w:pStyle w:val="Heading2"/>
        <w:ind w:left="720"/>
      </w:pPr>
      <w:r>
        <w:lastRenderedPageBreak/>
        <w:t>Applying the framework</w:t>
      </w:r>
      <w:r w:rsidR="00784F0F">
        <w:t>:</w:t>
      </w:r>
    </w:p>
    <w:p w:rsidR="00E246C7" w:rsidRPr="00E246C7" w:rsidRDefault="00E246C7" w:rsidP="00E246C7">
      <w:pPr>
        <w:rPr>
          <w:rFonts w:cs="Arial"/>
        </w:rPr>
      </w:pPr>
    </w:p>
    <w:tbl>
      <w:tblPr>
        <w:tblStyle w:val="TableGrid"/>
        <w:tblpPr w:leftFromText="180" w:rightFromText="180" w:vertAnchor="text" w:horzAnchor="margin" w:tblpXSpec="center" w:tblpY="-39"/>
        <w:tblW w:w="0" w:type="auto"/>
        <w:tblLook w:val="04A0" w:firstRow="1" w:lastRow="0" w:firstColumn="1" w:lastColumn="0" w:noHBand="0" w:noVBand="1"/>
      </w:tblPr>
      <w:tblGrid>
        <w:gridCol w:w="2649"/>
        <w:gridCol w:w="5244"/>
      </w:tblGrid>
      <w:tr w:rsidR="00E246C7" w:rsidRPr="00453E8E" w:rsidTr="00BD076C">
        <w:tc>
          <w:tcPr>
            <w:tcW w:w="2649" w:type="dxa"/>
          </w:tcPr>
          <w:p w:rsidR="00E246C7" w:rsidRPr="00453E8E" w:rsidRDefault="00E246C7" w:rsidP="00BD076C">
            <w:pPr>
              <w:pStyle w:val="Heading2"/>
            </w:pPr>
            <w:r w:rsidRPr="00453E8E">
              <w:t>Option for intervention by government</w:t>
            </w:r>
          </w:p>
        </w:tc>
        <w:tc>
          <w:tcPr>
            <w:tcW w:w="5244" w:type="dxa"/>
          </w:tcPr>
          <w:p w:rsidR="00E246C7" w:rsidRPr="00453E8E" w:rsidRDefault="00E246C7" w:rsidP="00BD076C">
            <w:pPr>
              <w:pStyle w:val="ListParagraph"/>
              <w:autoSpaceDE w:val="0"/>
              <w:autoSpaceDN w:val="0"/>
              <w:adjustRightInd w:val="0"/>
              <w:ind w:left="0"/>
              <w:rPr>
                <w:rFonts w:cs="Arial"/>
                <w:b/>
              </w:rPr>
            </w:pPr>
            <w:r w:rsidRPr="00453E8E">
              <w:rPr>
                <w:rFonts w:cs="Arial"/>
                <w:b/>
              </w:rPr>
              <w:t>Example of government intervention</w:t>
            </w:r>
          </w:p>
        </w:tc>
      </w:tr>
      <w:tr w:rsidR="00E246C7" w:rsidRPr="00453E8E" w:rsidTr="00BD076C">
        <w:tc>
          <w:tcPr>
            <w:tcW w:w="2649" w:type="dxa"/>
          </w:tcPr>
          <w:p w:rsidR="00E246C7" w:rsidRPr="00453E8E" w:rsidRDefault="00E246C7" w:rsidP="00BD076C">
            <w:pPr>
              <w:pStyle w:val="Heading2"/>
            </w:pPr>
            <w:r w:rsidRPr="00453E8E">
              <w:t>Build and support networks where relevant for specific program objectives</w:t>
            </w:r>
          </w:p>
        </w:tc>
        <w:tc>
          <w:tcPr>
            <w:tcW w:w="5244" w:type="dxa"/>
          </w:tcPr>
          <w:p w:rsidR="00E246C7" w:rsidRPr="00453E8E" w:rsidRDefault="00E246C7" w:rsidP="00BD076C">
            <w:pPr>
              <w:autoSpaceDE w:val="0"/>
              <w:autoSpaceDN w:val="0"/>
              <w:adjustRightInd w:val="0"/>
              <w:rPr>
                <w:rFonts w:cs="Arial"/>
              </w:rPr>
            </w:pPr>
            <w:r w:rsidRPr="00453E8E">
              <w:rPr>
                <w:rFonts w:cs="Arial"/>
              </w:rPr>
              <w:t xml:space="preserve">Examples already exist in programs like immigration settlement, job search, community crime prevention, public health promotion etc. </w:t>
            </w:r>
            <w:r>
              <w:rPr>
                <w:rFonts w:cs="Arial"/>
              </w:rPr>
              <w:t xml:space="preserve">for example a 2005 study </w:t>
            </w:r>
            <w:r w:rsidRPr="00453E8E">
              <w:rPr>
                <w:rFonts w:cs="Arial"/>
              </w:rPr>
              <w:t xml:space="preserve">explored how government programs might better support the care networks of older people and promote ageing well policy goals. Older people needing care become increasingly reliant on close friends and family but their care needs may place these networks under stress. </w:t>
            </w:r>
            <w:r>
              <w:rPr>
                <w:rFonts w:cs="Arial"/>
              </w:rPr>
              <w:t xml:space="preserve">It was </w:t>
            </w:r>
            <w:r w:rsidRPr="00453E8E">
              <w:rPr>
                <w:rFonts w:cs="Arial"/>
              </w:rPr>
              <w:t xml:space="preserve">argued that the care burden can be reduced by providing direct care and support to the older person and by supporting caregiver networks through respite and other programs and through employment-based leave schemes. Levesque (2005) demonstrated the importance of government facilitating appropriate social networks to underpin social capital and labour market re-entry programs for long term social assistance recipients. Levesque noted that many such programs typically perpetuate the formation of networks between social assistance recipients rather than linking them to networks that can assist in labour market entry. In reviewing these studies, the PRI emphasises the importance of a social capital perspective in enabling interaction between a diversity of groups including those normally outside of </w:t>
            </w:r>
            <w:r>
              <w:rPr>
                <w:rFonts w:cs="Arial"/>
              </w:rPr>
              <w:t>existing contacts</w:t>
            </w:r>
            <w:r w:rsidRPr="00453E8E">
              <w:rPr>
                <w:rFonts w:cs="Arial"/>
              </w:rPr>
              <w:t>.</w:t>
            </w:r>
          </w:p>
        </w:tc>
      </w:tr>
      <w:tr w:rsidR="00E246C7" w:rsidRPr="00453E8E" w:rsidTr="00BD076C">
        <w:tc>
          <w:tcPr>
            <w:tcW w:w="2649" w:type="dxa"/>
          </w:tcPr>
          <w:p w:rsidR="00E246C7" w:rsidRPr="00453E8E" w:rsidRDefault="00E246C7" w:rsidP="00BD076C">
            <w:pPr>
              <w:pStyle w:val="Heading2"/>
              <w:rPr>
                <w:color w:val="000081"/>
              </w:rPr>
            </w:pPr>
            <w:r w:rsidRPr="00453E8E">
              <w:t>Tap into existing networks to deliver services</w:t>
            </w:r>
          </w:p>
        </w:tc>
        <w:tc>
          <w:tcPr>
            <w:tcW w:w="5244" w:type="dxa"/>
          </w:tcPr>
          <w:p w:rsidR="00E246C7" w:rsidRPr="00453E8E" w:rsidRDefault="00E246C7" w:rsidP="00BD076C">
            <w:pPr>
              <w:pStyle w:val="ListParagraph"/>
              <w:ind w:left="33"/>
              <w:rPr>
                <w:rFonts w:cs="Arial"/>
              </w:rPr>
            </w:pPr>
            <w:r w:rsidRPr="00453E8E">
              <w:rPr>
                <w:rFonts w:cs="Arial"/>
              </w:rPr>
              <w:t>The field of public health and health promotion provides numerous examples of this approach. The PRI identifies health promotion programs that use influential figures to influence health-related behaviours within targeted networks. These include programs designed to change the behaviours of gay men to prevent the spread of HIV in the USA, and anti-smoking initiatives in the UK that used a peer support</w:t>
            </w:r>
            <w:r w:rsidR="00BB78BB">
              <w:rPr>
                <w:rFonts w:cs="Arial"/>
              </w:rPr>
              <w:t xml:space="preserve"> model in schools</w:t>
            </w:r>
            <w:r w:rsidRPr="00453E8E">
              <w:rPr>
                <w:rFonts w:cs="Arial"/>
              </w:rPr>
              <w:t>.</w:t>
            </w:r>
          </w:p>
        </w:tc>
      </w:tr>
      <w:tr w:rsidR="00E246C7" w:rsidRPr="00453E8E" w:rsidTr="00BD076C">
        <w:tc>
          <w:tcPr>
            <w:tcW w:w="2649" w:type="dxa"/>
          </w:tcPr>
          <w:p w:rsidR="00E246C7" w:rsidRPr="00453E8E" w:rsidRDefault="00E246C7" w:rsidP="00BD076C">
            <w:pPr>
              <w:pStyle w:val="Heading2"/>
              <w:rPr>
                <w:color w:val="000081"/>
              </w:rPr>
            </w:pPr>
            <w:r w:rsidRPr="00453E8E">
              <w:lastRenderedPageBreak/>
              <w:t>Establish favourable conditions for desired network formation and maintenance</w:t>
            </w:r>
          </w:p>
        </w:tc>
        <w:tc>
          <w:tcPr>
            <w:tcW w:w="5244" w:type="dxa"/>
          </w:tcPr>
          <w:p w:rsidR="00E246C7" w:rsidRPr="00453E8E" w:rsidRDefault="00E246C7" w:rsidP="00BD076C">
            <w:pPr>
              <w:autoSpaceDE w:val="0"/>
              <w:autoSpaceDN w:val="0"/>
              <w:adjustRightInd w:val="0"/>
              <w:rPr>
                <w:rFonts w:cs="Arial"/>
              </w:rPr>
            </w:pPr>
            <w:r w:rsidRPr="00453E8E">
              <w:rPr>
                <w:rFonts w:cs="Arial"/>
              </w:rPr>
              <w:t>The PRI notes that there will be instances where it is more appropriate for government to invest in establishing favourable conditions for the generation of social capital rather than playing a more direct role in shaping network development. The PRI identifies two key strategies for this</w:t>
            </w:r>
            <w:r>
              <w:rPr>
                <w:rFonts w:cs="Arial"/>
              </w:rPr>
              <w:t xml:space="preserve"> </w:t>
            </w:r>
            <w:r w:rsidRPr="00453E8E">
              <w:rPr>
                <w:rFonts w:cs="Arial"/>
              </w:rPr>
              <w:t>approach –</w:t>
            </w:r>
          </w:p>
          <w:p w:rsidR="00E246C7" w:rsidRPr="00453E8E" w:rsidRDefault="00E246C7" w:rsidP="00E246C7">
            <w:pPr>
              <w:pStyle w:val="ListParagraph"/>
              <w:numPr>
                <w:ilvl w:val="0"/>
                <w:numId w:val="40"/>
              </w:numPr>
              <w:autoSpaceDE w:val="0"/>
              <w:autoSpaceDN w:val="0"/>
              <w:adjustRightInd w:val="0"/>
              <w:ind w:left="459"/>
              <w:rPr>
                <w:rFonts w:cs="Arial"/>
              </w:rPr>
            </w:pPr>
            <w:r w:rsidRPr="00453E8E">
              <w:rPr>
                <w:rFonts w:cs="Arial"/>
              </w:rPr>
              <w:t>supporting opportunities for social interaction by providing assistance to disadvantaged people in developing social ties and rebuilding lost relational skills before engaging in more formal network buildi</w:t>
            </w:r>
            <w:r>
              <w:rPr>
                <w:rFonts w:cs="Arial"/>
              </w:rPr>
              <w:t>ng (</w:t>
            </w:r>
            <w:proofErr w:type="spellStart"/>
            <w:r>
              <w:rPr>
                <w:rFonts w:cs="Arial"/>
              </w:rPr>
              <w:t>eg</w:t>
            </w:r>
            <w:proofErr w:type="spellEnd"/>
            <w:r>
              <w:rPr>
                <w:rFonts w:cs="Arial"/>
              </w:rPr>
              <w:t xml:space="preserve"> as part of labour market </w:t>
            </w:r>
            <w:r w:rsidRPr="00453E8E">
              <w:rPr>
                <w:rFonts w:cs="Arial"/>
              </w:rPr>
              <w:t>integration); investing in public infrastructure, such as, public recreational and social spaces, community centres and mixed housing developments that support social interaction;</w:t>
            </w:r>
          </w:p>
          <w:p w:rsidR="00BB78BB" w:rsidRPr="00453E8E" w:rsidRDefault="00E246C7" w:rsidP="00BB78BB">
            <w:pPr>
              <w:pStyle w:val="ListParagraph"/>
              <w:numPr>
                <w:ilvl w:val="0"/>
                <w:numId w:val="40"/>
              </w:numPr>
              <w:autoSpaceDE w:val="0"/>
              <w:autoSpaceDN w:val="0"/>
              <w:adjustRightInd w:val="0"/>
              <w:ind w:left="459"/>
              <w:rPr>
                <w:rFonts w:cs="Arial"/>
              </w:rPr>
            </w:pPr>
            <w:r w:rsidRPr="00453E8E">
              <w:rPr>
                <w:rFonts w:cs="Arial"/>
              </w:rPr>
              <w:t>brokering and facilitating networks and alliances through the use of social ‘brokers’ or ‘entrepreneurs’, for example, local non-traditional leaders, sports coaches, neighbourhood activists etc. Public service representatives are seen to have a potential role in mediating between networks and supporting communities to develop their own networks. In the context of community development partnerships, Charbonneau (2005) found that success involved government representatives leaving the direction of activities to local networks while providing reliable funding and expertise, and building on ex</w:t>
            </w:r>
            <w:r w:rsidR="00BB78BB">
              <w:rPr>
                <w:rFonts w:cs="Arial"/>
              </w:rPr>
              <w:t>isting community collaborations</w:t>
            </w:r>
          </w:p>
          <w:p w:rsidR="00E246C7" w:rsidRPr="00453E8E" w:rsidRDefault="00E246C7" w:rsidP="00BD076C">
            <w:pPr>
              <w:pStyle w:val="ListParagraph"/>
              <w:autoSpaceDE w:val="0"/>
              <w:autoSpaceDN w:val="0"/>
              <w:adjustRightInd w:val="0"/>
              <w:ind w:left="459"/>
              <w:rPr>
                <w:rFonts w:cs="Arial"/>
              </w:rPr>
            </w:pPr>
          </w:p>
        </w:tc>
      </w:tr>
      <w:tr w:rsidR="00E246C7" w:rsidRPr="00453E8E" w:rsidTr="00BD076C">
        <w:tc>
          <w:tcPr>
            <w:tcW w:w="2649" w:type="dxa"/>
          </w:tcPr>
          <w:p w:rsidR="00E246C7" w:rsidRPr="00917F8F" w:rsidRDefault="00E246C7" w:rsidP="00BD076C">
            <w:pPr>
              <w:pStyle w:val="Heading2"/>
            </w:pPr>
            <w:r w:rsidRPr="00917F8F">
              <w:t>Increase program sensitivity to existing social capital</w:t>
            </w:r>
          </w:p>
        </w:tc>
        <w:tc>
          <w:tcPr>
            <w:tcW w:w="5244" w:type="dxa"/>
          </w:tcPr>
          <w:p w:rsidR="00E246C7" w:rsidRPr="00917F8F" w:rsidRDefault="00E246C7" w:rsidP="00BB78BB">
            <w:pPr>
              <w:autoSpaceDE w:val="0"/>
              <w:autoSpaceDN w:val="0"/>
              <w:adjustRightInd w:val="0"/>
              <w:rPr>
                <w:rFonts w:cs="Arial"/>
              </w:rPr>
            </w:pPr>
            <w:r w:rsidRPr="00917F8F">
              <w:rPr>
                <w:rFonts w:cs="Arial"/>
              </w:rPr>
              <w:t>This approach invo</w:t>
            </w:r>
            <w:r>
              <w:rPr>
                <w:rFonts w:cs="Arial"/>
              </w:rPr>
              <w:t xml:space="preserve">lves collecting and integrating </w:t>
            </w:r>
            <w:r w:rsidRPr="00917F8F">
              <w:rPr>
                <w:rFonts w:cs="Arial"/>
              </w:rPr>
              <w:t xml:space="preserve">information about existing </w:t>
            </w:r>
            <w:r>
              <w:rPr>
                <w:rFonts w:cs="Arial"/>
              </w:rPr>
              <w:t xml:space="preserve">social networks into policy and </w:t>
            </w:r>
            <w:r w:rsidRPr="00917F8F">
              <w:rPr>
                <w:rFonts w:cs="Arial"/>
              </w:rPr>
              <w:t>program design, implem</w:t>
            </w:r>
            <w:r>
              <w:rPr>
                <w:rFonts w:cs="Arial"/>
              </w:rPr>
              <w:t xml:space="preserve">entation and evaluation phases. </w:t>
            </w:r>
            <w:r w:rsidRPr="00917F8F">
              <w:rPr>
                <w:rFonts w:cs="Arial"/>
              </w:rPr>
              <w:t>The goal is to raise the a</w:t>
            </w:r>
            <w:r>
              <w:rPr>
                <w:rFonts w:cs="Arial"/>
              </w:rPr>
              <w:t xml:space="preserve">wareness of policy makers about </w:t>
            </w:r>
            <w:r w:rsidRPr="00917F8F">
              <w:rPr>
                <w:rFonts w:cs="Arial"/>
              </w:rPr>
              <w:t xml:space="preserve">the potential impacts of </w:t>
            </w:r>
            <w:r>
              <w:rPr>
                <w:rFonts w:cs="Arial"/>
              </w:rPr>
              <w:t xml:space="preserve">new interventions on the social </w:t>
            </w:r>
            <w:r w:rsidRPr="00917F8F">
              <w:rPr>
                <w:rFonts w:cs="Arial"/>
              </w:rPr>
              <w:t xml:space="preserve">capital already present in communities </w:t>
            </w:r>
          </w:p>
        </w:tc>
      </w:tr>
    </w:tbl>
    <w:p w:rsidR="00E246C7" w:rsidRDefault="00E246C7" w:rsidP="00E246C7">
      <w:pPr>
        <w:autoSpaceDE w:val="0"/>
        <w:autoSpaceDN w:val="0"/>
        <w:adjustRightInd w:val="0"/>
        <w:rPr>
          <w:rFonts w:cs="Arial"/>
        </w:rPr>
      </w:pPr>
    </w:p>
    <w:p w:rsidR="00E246C7" w:rsidRDefault="00E246C7" w:rsidP="00E246C7">
      <w:pPr>
        <w:autoSpaceDE w:val="0"/>
        <w:autoSpaceDN w:val="0"/>
        <w:adjustRightInd w:val="0"/>
        <w:rPr>
          <w:rFonts w:cs="Arial"/>
        </w:rPr>
      </w:pPr>
    </w:p>
    <w:p w:rsidR="00E246C7" w:rsidRDefault="00E246C7" w:rsidP="00E246C7">
      <w:pPr>
        <w:autoSpaceDE w:val="0"/>
        <w:autoSpaceDN w:val="0"/>
        <w:adjustRightInd w:val="0"/>
        <w:rPr>
          <w:rFonts w:cs="Arial"/>
        </w:rPr>
      </w:pPr>
    </w:p>
    <w:p w:rsidR="00E246C7" w:rsidRDefault="00E246C7" w:rsidP="00E246C7">
      <w:pPr>
        <w:autoSpaceDE w:val="0"/>
        <w:autoSpaceDN w:val="0"/>
        <w:adjustRightInd w:val="0"/>
        <w:rPr>
          <w:rFonts w:cs="Arial"/>
        </w:rPr>
      </w:pPr>
    </w:p>
    <w:p w:rsidR="00E246C7" w:rsidRDefault="00E246C7" w:rsidP="00E246C7">
      <w:pPr>
        <w:autoSpaceDE w:val="0"/>
        <w:autoSpaceDN w:val="0"/>
        <w:adjustRightInd w:val="0"/>
        <w:rPr>
          <w:rFonts w:cs="Arial"/>
        </w:rPr>
      </w:pPr>
    </w:p>
    <w:p w:rsidR="00E246C7" w:rsidRDefault="00E246C7" w:rsidP="00E246C7">
      <w:pPr>
        <w:autoSpaceDE w:val="0"/>
        <w:autoSpaceDN w:val="0"/>
        <w:adjustRightInd w:val="0"/>
        <w:rPr>
          <w:rFonts w:cs="Arial"/>
        </w:rPr>
      </w:pPr>
    </w:p>
    <w:p w:rsidR="0022503D" w:rsidRDefault="0022503D" w:rsidP="00E246C7">
      <w:pPr>
        <w:autoSpaceDE w:val="0"/>
        <w:autoSpaceDN w:val="0"/>
        <w:adjustRightInd w:val="0"/>
        <w:rPr>
          <w:rFonts w:cs="Arial"/>
        </w:rPr>
      </w:pPr>
    </w:p>
    <w:p w:rsidR="0022503D" w:rsidRPr="0022503D" w:rsidRDefault="0022503D" w:rsidP="0022503D">
      <w:pPr>
        <w:rPr>
          <w:rFonts w:cs="Arial"/>
        </w:rPr>
      </w:pPr>
    </w:p>
    <w:p w:rsidR="0022503D" w:rsidRPr="0022503D" w:rsidRDefault="0022503D" w:rsidP="0022503D">
      <w:pPr>
        <w:rPr>
          <w:rFonts w:cs="Arial"/>
        </w:rPr>
      </w:pPr>
    </w:p>
    <w:p w:rsidR="0022503D" w:rsidRPr="0022503D" w:rsidRDefault="0022503D" w:rsidP="0022503D">
      <w:pPr>
        <w:rPr>
          <w:rFonts w:cs="Arial"/>
        </w:rPr>
      </w:pPr>
    </w:p>
    <w:p w:rsidR="0022503D" w:rsidRPr="0022503D" w:rsidRDefault="0022503D" w:rsidP="0022503D">
      <w:pPr>
        <w:rPr>
          <w:rFonts w:cs="Arial"/>
        </w:rPr>
      </w:pPr>
    </w:p>
    <w:p w:rsidR="0022503D" w:rsidRPr="0022503D" w:rsidRDefault="0022503D" w:rsidP="0022503D">
      <w:pPr>
        <w:rPr>
          <w:rFonts w:cs="Arial"/>
        </w:rPr>
      </w:pPr>
    </w:p>
    <w:p w:rsidR="0022503D" w:rsidRPr="0022503D" w:rsidRDefault="0022503D" w:rsidP="0022503D">
      <w:pPr>
        <w:rPr>
          <w:rFonts w:cs="Arial"/>
        </w:rPr>
      </w:pPr>
    </w:p>
    <w:p w:rsidR="0022503D" w:rsidRPr="0022503D" w:rsidRDefault="0022503D" w:rsidP="0022503D">
      <w:pPr>
        <w:rPr>
          <w:rFonts w:cs="Arial"/>
        </w:rPr>
      </w:pPr>
    </w:p>
    <w:p w:rsidR="0022503D" w:rsidRPr="0022503D" w:rsidRDefault="0022503D" w:rsidP="0022503D">
      <w:pPr>
        <w:rPr>
          <w:rFonts w:cs="Arial"/>
        </w:rPr>
      </w:pPr>
    </w:p>
    <w:p w:rsidR="0022503D" w:rsidRPr="00F11161" w:rsidRDefault="0022503D" w:rsidP="00F11161">
      <w:pPr>
        <w:rPr>
          <w:rFonts w:cs="Arial"/>
        </w:rPr>
      </w:pPr>
    </w:p>
    <w:p w:rsidR="00E246C7" w:rsidRPr="0022503D" w:rsidRDefault="0022503D" w:rsidP="0022503D">
      <w:pPr>
        <w:pStyle w:val="FootnoteText"/>
        <w:rPr>
          <w:b/>
        </w:rPr>
      </w:pPr>
      <w:r w:rsidRPr="0022503D">
        <w:rPr>
          <w:b/>
        </w:rPr>
        <w:t xml:space="preserve">* This table is adapted from </w:t>
      </w:r>
      <w:r>
        <w:rPr>
          <w:b/>
        </w:rPr>
        <w:t>‘</w:t>
      </w:r>
      <w:r w:rsidRPr="0022503D">
        <w:rPr>
          <w:b/>
        </w:rPr>
        <w:t>Measuring Social Inclusion a</w:t>
      </w:r>
      <w:r>
        <w:rPr>
          <w:b/>
        </w:rPr>
        <w:t>nd Exclusion i</w:t>
      </w:r>
      <w:r w:rsidRPr="0022503D">
        <w:rPr>
          <w:b/>
        </w:rPr>
        <w:t xml:space="preserve">n Northern Adelaide:  </w:t>
      </w:r>
      <w:r>
        <w:rPr>
          <w:b/>
        </w:rPr>
        <w:t xml:space="preserve">a </w:t>
      </w:r>
      <w:r w:rsidRPr="0022503D">
        <w:rPr>
          <w:b/>
        </w:rPr>
        <w:t>report for the Department of Health</w:t>
      </w:r>
      <w:r>
        <w:rPr>
          <w:b/>
        </w:rPr>
        <w:t>’</w:t>
      </w:r>
      <w:r w:rsidR="00EF260D">
        <w:rPr>
          <w:b/>
        </w:rPr>
        <w:t xml:space="preserve"> pp. 42</w:t>
      </w:r>
    </w:p>
    <w:p w:rsidR="003E4F65" w:rsidRDefault="003E4F65" w:rsidP="003E4F65">
      <w:pPr>
        <w:pStyle w:val="Heading3"/>
      </w:pPr>
      <w:bookmarkStart w:id="23" w:name="_Toc381268928"/>
    </w:p>
    <w:p w:rsidR="00B473CC" w:rsidRDefault="00B473CC" w:rsidP="003E4F65">
      <w:pPr>
        <w:pStyle w:val="Heading3"/>
        <w:numPr>
          <w:ilvl w:val="0"/>
          <w:numId w:val="34"/>
        </w:numPr>
      </w:pPr>
      <w:r w:rsidRPr="00B473CC">
        <w:t>In what way could collaboration between government departments, organisations, services and the community sector be improved to enhance social inclusion for people with a disability?</w:t>
      </w:r>
      <w:bookmarkEnd w:id="23"/>
    </w:p>
    <w:p w:rsidR="00987F3F" w:rsidRDefault="00987F3F" w:rsidP="00B473CC">
      <w:pPr>
        <w:autoSpaceDE w:val="0"/>
        <w:autoSpaceDN w:val="0"/>
        <w:adjustRightInd w:val="0"/>
        <w:rPr>
          <w:rFonts w:cs="Arial"/>
        </w:rPr>
      </w:pPr>
    </w:p>
    <w:p w:rsidR="00007263" w:rsidRPr="00094888" w:rsidRDefault="003E4F65" w:rsidP="002F3631">
      <w:pPr>
        <w:autoSpaceDE w:val="0"/>
        <w:autoSpaceDN w:val="0"/>
        <w:adjustRightInd w:val="0"/>
        <w:ind w:left="360"/>
        <w:rPr>
          <w:rFonts w:cs="Arial"/>
        </w:rPr>
      </w:pPr>
      <w:r w:rsidRPr="00094888">
        <w:rPr>
          <w:rFonts w:cs="Arial"/>
        </w:rPr>
        <w:t>G</w:t>
      </w:r>
      <w:r w:rsidR="00E246C7" w:rsidRPr="00094888">
        <w:rPr>
          <w:rFonts w:cs="Arial"/>
        </w:rPr>
        <w:t>reater collaboration bet</w:t>
      </w:r>
      <w:r w:rsidR="0022503D" w:rsidRPr="00094888">
        <w:rPr>
          <w:rFonts w:cs="Arial"/>
        </w:rPr>
        <w:t xml:space="preserve">ween Government Departments, </w:t>
      </w:r>
      <w:r w:rsidR="00EF260D" w:rsidRPr="00094888">
        <w:rPr>
          <w:rFonts w:cs="Arial"/>
        </w:rPr>
        <w:t>local</w:t>
      </w:r>
      <w:r w:rsidR="00E246C7" w:rsidRPr="00094888">
        <w:rPr>
          <w:rFonts w:cs="Arial"/>
        </w:rPr>
        <w:t xml:space="preserve"> government </w:t>
      </w:r>
      <w:r w:rsidR="0022503D" w:rsidRPr="00094888">
        <w:rPr>
          <w:rFonts w:cs="Arial"/>
        </w:rPr>
        <w:t xml:space="preserve">and the community sector </w:t>
      </w:r>
      <w:r w:rsidR="00E246C7" w:rsidRPr="00094888">
        <w:rPr>
          <w:rFonts w:cs="Arial"/>
        </w:rPr>
        <w:t xml:space="preserve">can have a significant impact on improving </w:t>
      </w:r>
      <w:r w:rsidR="00EF260D" w:rsidRPr="00094888">
        <w:rPr>
          <w:rFonts w:cs="Arial"/>
        </w:rPr>
        <w:t xml:space="preserve">the </w:t>
      </w:r>
      <w:r w:rsidR="00E246C7" w:rsidRPr="00094888">
        <w:rPr>
          <w:rFonts w:cs="Arial"/>
        </w:rPr>
        <w:t xml:space="preserve">social inclusion </w:t>
      </w:r>
      <w:r w:rsidR="00EF260D" w:rsidRPr="00094888">
        <w:rPr>
          <w:rFonts w:cs="Arial"/>
        </w:rPr>
        <w:t>of Victorians</w:t>
      </w:r>
      <w:r w:rsidR="00E246C7" w:rsidRPr="00094888">
        <w:rPr>
          <w:rFonts w:cs="Arial"/>
        </w:rPr>
        <w:t xml:space="preserve"> with a disability. </w:t>
      </w:r>
      <w:r w:rsidR="00007263" w:rsidRPr="00094888">
        <w:rPr>
          <w:rFonts w:cs="Arial"/>
        </w:rPr>
        <w:t xml:space="preserve">Vision Australia has successfully worked with government agencies to achieve better outcomes for Victorians who are blind or have low vision. </w:t>
      </w:r>
      <w:r w:rsidR="00094888" w:rsidRPr="00094888">
        <w:rPr>
          <w:rFonts w:cs="Arial"/>
        </w:rPr>
        <w:t>One</w:t>
      </w:r>
      <w:r w:rsidR="00543B54">
        <w:rPr>
          <w:rFonts w:cs="Arial"/>
        </w:rPr>
        <w:t xml:space="preserve"> such</w:t>
      </w:r>
      <w:r w:rsidR="00094888" w:rsidRPr="00094888">
        <w:rPr>
          <w:rFonts w:cs="Arial"/>
        </w:rPr>
        <w:t xml:space="preserve"> example of a successful collaboration between Vision Australia, Government and the wider disability sector is the establishment of </w:t>
      </w:r>
      <w:proofErr w:type="spellStart"/>
      <w:r w:rsidR="00094888" w:rsidRPr="00094888">
        <w:rPr>
          <w:rFonts w:cs="Arial"/>
        </w:rPr>
        <w:t>VidKids</w:t>
      </w:r>
      <w:proofErr w:type="spellEnd"/>
      <w:r w:rsidR="00094888" w:rsidRPr="00094888">
        <w:rPr>
          <w:rFonts w:cs="Arial"/>
        </w:rPr>
        <w:t>, an online</w:t>
      </w:r>
      <w:r w:rsidR="00543B54">
        <w:rPr>
          <w:rFonts w:cs="Arial"/>
        </w:rPr>
        <w:t xml:space="preserve"> video conferencing</w:t>
      </w:r>
      <w:r w:rsidR="00094888" w:rsidRPr="00094888">
        <w:rPr>
          <w:rFonts w:cs="Arial"/>
        </w:rPr>
        <w:t xml:space="preserve"> platform</w:t>
      </w:r>
      <w:r w:rsidR="00543B54">
        <w:rPr>
          <w:rFonts w:cs="Arial"/>
        </w:rPr>
        <w:t xml:space="preserve"> that</w:t>
      </w:r>
      <w:r w:rsidR="00094888" w:rsidRPr="00094888">
        <w:rPr>
          <w:rFonts w:cs="Arial"/>
        </w:rPr>
        <w:t xml:space="preserve"> provide</w:t>
      </w:r>
      <w:r w:rsidR="00543B54">
        <w:rPr>
          <w:rFonts w:cs="Arial"/>
        </w:rPr>
        <w:t>s</w:t>
      </w:r>
      <w:r w:rsidR="00094888" w:rsidRPr="00094888">
        <w:rPr>
          <w:rFonts w:cs="Arial"/>
        </w:rPr>
        <w:t xml:space="preserve"> services</w:t>
      </w:r>
      <w:r w:rsidR="00094888" w:rsidRPr="00094888">
        <w:rPr>
          <w:color w:val="252525"/>
          <w:lang w:val="en"/>
        </w:rPr>
        <w:t xml:space="preserve"> to children with </w:t>
      </w:r>
      <w:r w:rsidR="00543B54">
        <w:rPr>
          <w:color w:val="252525"/>
          <w:lang w:val="en"/>
        </w:rPr>
        <w:t>a sensory disability</w:t>
      </w:r>
      <w:r w:rsidR="00094888" w:rsidRPr="00094888">
        <w:rPr>
          <w:color w:val="252525"/>
          <w:lang w:val="en"/>
        </w:rPr>
        <w:t xml:space="preserve"> in regional and remote </w:t>
      </w:r>
      <w:r w:rsidR="00543B54">
        <w:rPr>
          <w:color w:val="252525"/>
          <w:lang w:val="en"/>
        </w:rPr>
        <w:t>areas</w:t>
      </w:r>
      <w:r w:rsidR="00094888" w:rsidRPr="00094888">
        <w:rPr>
          <w:color w:val="252525"/>
          <w:lang w:val="en"/>
        </w:rPr>
        <w:t xml:space="preserve">. </w:t>
      </w:r>
      <w:r w:rsidR="00094888" w:rsidRPr="00094888">
        <w:rPr>
          <w:rFonts w:cs="Arial"/>
          <w:color w:val="252525"/>
          <w:lang w:val="en"/>
        </w:rPr>
        <w:t>C</w:t>
      </w:r>
      <w:r w:rsidR="00094888" w:rsidRPr="00094888">
        <w:rPr>
          <w:rFonts w:cs="Arial"/>
          <w:color w:val="252525"/>
          <w:lang w:val="en"/>
        </w:rPr>
        <w:t xml:space="preserve">hildren </w:t>
      </w:r>
      <w:r w:rsidR="00F15DC2">
        <w:rPr>
          <w:rFonts w:cs="Arial"/>
          <w:color w:val="252525"/>
          <w:lang w:val="en"/>
        </w:rPr>
        <w:t xml:space="preserve">living </w:t>
      </w:r>
      <w:r w:rsidR="00094888">
        <w:rPr>
          <w:rFonts w:cs="Arial"/>
          <w:color w:val="252525"/>
          <w:lang w:val="en"/>
        </w:rPr>
        <w:t xml:space="preserve">with a sensory disability in </w:t>
      </w:r>
      <w:r w:rsidR="00543B54">
        <w:rPr>
          <w:rFonts w:cs="Arial"/>
          <w:color w:val="252525"/>
          <w:lang w:val="en"/>
        </w:rPr>
        <w:t>remote</w:t>
      </w:r>
      <w:r w:rsidR="00094888" w:rsidRPr="00094888">
        <w:rPr>
          <w:rFonts w:cs="Arial"/>
          <w:color w:val="252525"/>
          <w:lang w:val="en"/>
        </w:rPr>
        <w:t xml:space="preserve"> </w:t>
      </w:r>
      <w:r w:rsidR="00F15DC2">
        <w:rPr>
          <w:rFonts w:cs="Arial"/>
          <w:color w:val="252525"/>
          <w:lang w:val="en"/>
        </w:rPr>
        <w:t>region</w:t>
      </w:r>
      <w:r w:rsidR="00094888" w:rsidRPr="00094888">
        <w:rPr>
          <w:rFonts w:cs="Arial"/>
          <w:color w:val="252525"/>
          <w:lang w:val="en"/>
        </w:rPr>
        <w:t xml:space="preserve">s </w:t>
      </w:r>
      <w:r w:rsidR="00094888">
        <w:rPr>
          <w:rFonts w:cs="Arial"/>
          <w:color w:val="252525"/>
          <w:lang w:val="en"/>
        </w:rPr>
        <w:t xml:space="preserve">often lack access to specialist disability supports. </w:t>
      </w:r>
      <w:proofErr w:type="spellStart"/>
      <w:r w:rsidR="00094888">
        <w:rPr>
          <w:rFonts w:cs="Arial"/>
          <w:color w:val="252525"/>
          <w:lang w:val="en"/>
        </w:rPr>
        <w:t>VidKids</w:t>
      </w:r>
      <w:proofErr w:type="spellEnd"/>
      <w:r w:rsidR="00094888">
        <w:rPr>
          <w:rFonts w:cs="Arial"/>
          <w:color w:val="252525"/>
          <w:lang w:val="en"/>
        </w:rPr>
        <w:t xml:space="preserve"> uses </w:t>
      </w:r>
      <w:r w:rsidR="00094888" w:rsidRPr="00094888">
        <w:rPr>
          <w:rFonts w:cs="Arial"/>
          <w:color w:val="252525"/>
          <w:lang w:val="en"/>
        </w:rPr>
        <w:t xml:space="preserve">video conferencing </w:t>
      </w:r>
      <w:r w:rsidR="00F15DC2">
        <w:rPr>
          <w:rFonts w:cs="Arial"/>
          <w:color w:val="252525"/>
          <w:lang w:val="en"/>
        </w:rPr>
        <w:t>to</w:t>
      </w:r>
      <w:bookmarkStart w:id="24" w:name="_GoBack"/>
      <w:bookmarkEnd w:id="24"/>
      <w:r w:rsidR="00F15DC2">
        <w:rPr>
          <w:rFonts w:cs="Arial"/>
          <w:color w:val="252525"/>
          <w:lang w:val="en"/>
        </w:rPr>
        <w:t xml:space="preserve"> </w:t>
      </w:r>
      <w:r w:rsidR="00543B54">
        <w:rPr>
          <w:rFonts w:cs="Arial"/>
          <w:color w:val="252525"/>
          <w:lang w:val="en"/>
        </w:rPr>
        <w:t>improve developmental outcomes and engage otherwise socially isolated children through learning.</w:t>
      </w:r>
    </w:p>
    <w:p w:rsidR="00007263" w:rsidRDefault="00007263" w:rsidP="002F3631">
      <w:pPr>
        <w:autoSpaceDE w:val="0"/>
        <w:autoSpaceDN w:val="0"/>
        <w:adjustRightInd w:val="0"/>
        <w:ind w:left="360"/>
        <w:rPr>
          <w:rFonts w:cs="Arial"/>
        </w:rPr>
      </w:pPr>
    </w:p>
    <w:p w:rsidR="00E246C7" w:rsidRDefault="00F15DC2" w:rsidP="00543B54">
      <w:pPr>
        <w:autoSpaceDE w:val="0"/>
        <w:autoSpaceDN w:val="0"/>
        <w:adjustRightInd w:val="0"/>
        <w:ind w:left="360"/>
        <w:rPr>
          <w:rFonts w:cs="Arial"/>
        </w:rPr>
      </w:pPr>
      <w:r>
        <w:rPr>
          <w:rFonts w:cs="Arial"/>
        </w:rPr>
        <w:t>As seen from this example, e</w:t>
      </w:r>
      <w:r w:rsidR="003E4F65">
        <w:rPr>
          <w:rFonts w:cs="Arial"/>
        </w:rPr>
        <w:t>nhancing the social inclusion of Victorians with a disability</w:t>
      </w:r>
      <w:r w:rsidR="00E246C7">
        <w:rPr>
          <w:rFonts w:cs="Arial"/>
        </w:rPr>
        <w:t xml:space="preserve"> </w:t>
      </w:r>
      <w:r>
        <w:rPr>
          <w:rFonts w:cs="Arial"/>
        </w:rPr>
        <w:t xml:space="preserve">will be </w:t>
      </w:r>
      <w:r w:rsidR="003E4F65">
        <w:rPr>
          <w:rFonts w:cs="Arial"/>
        </w:rPr>
        <w:t>dependent upon</w:t>
      </w:r>
      <w:r w:rsidR="00187F5E">
        <w:rPr>
          <w:rFonts w:cs="Arial"/>
        </w:rPr>
        <w:t xml:space="preserve"> the Victorian</w:t>
      </w:r>
      <w:r w:rsidR="003E4F65">
        <w:rPr>
          <w:rFonts w:cs="Arial"/>
        </w:rPr>
        <w:t xml:space="preserve"> </w:t>
      </w:r>
      <w:r w:rsidR="00187F5E">
        <w:rPr>
          <w:rFonts w:cs="Arial"/>
        </w:rPr>
        <w:t>Government</w:t>
      </w:r>
      <w:r w:rsidR="00E246C7">
        <w:rPr>
          <w:rFonts w:cs="Arial"/>
        </w:rPr>
        <w:t xml:space="preserve"> </w:t>
      </w:r>
      <w:r>
        <w:rPr>
          <w:rFonts w:cs="Arial"/>
        </w:rPr>
        <w:t>developing</w:t>
      </w:r>
      <w:r w:rsidR="00187F5E">
        <w:rPr>
          <w:rFonts w:cs="Arial"/>
        </w:rPr>
        <w:t xml:space="preserve"> meaningful</w:t>
      </w:r>
      <w:r w:rsidR="00E246C7">
        <w:rPr>
          <w:rFonts w:cs="Arial"/>
        </w:rPr>
        <w:t xml:space="preserve"> and consistent </w:t>
      </w:r>
      <w:r w:rsidR="00187F5E">
        <w:rPr>
          <w:rFonts w:cs="Arial"/>
        </w:rPr>
        <w:t>partnerships with</w:t>
      </w:r>
      <w:r w:rsidR="00F1637B">
        <w:rPr>
          <w:rFonts w:cs="Arial"/>
        </w:rPr>
        <w:t xml:space="preserve"> the</w:t>
      </w:r>
      <w:r w:rsidR="00187F5E">
        <w:rPr>
          <w:rFonts w:cs="Arial"/>
        </w:rPr>
        <w:t xml:space="preserve"> </w:t>
      </w:r>
      <w:r w:rsidR="00E246C7">
        <w:rPr>
          <w:rFonts w:cs="Arial"/>
        </w:rPr>
        <w:t>commu</w:t>
      </w:r>
      <w:r w:rsidR="003E4F65">
        <w:rPr>
          <w:rFonts w:cs="Arial"/>
        </w:rPr>
        <w:t>nity</w:t>
      </w:r>
      <w:r w:rsidR="00187F5E">
        <w:rPr>
          <w:rFonts w:cs="Arial"/>
        </w:rPr>
        <w:t xml:space="preserve"> </w:t>
      </w:r>
      <w:r w:rsidR="00F1637B">
        <w:rPr>
          <w:rFonts w:cs="Arial"/>
        </w:rPr>
        <w:t>sector</w:t>
      </w:r>
      <w:r w:rsidR="003E4F65">
        <w:rPr>
          <w:rFonts w:cs="Arial"/>
        </w:rPr>
        <w:t>.</w:t>
      </w:r>
      <w:r w:rsidR="00E246C7">
        <w:rPr>
          <w:rFonts w:cs="Arial"/>
        </w:rPr>
        <w:t xml:space="preserve">  </w:t>
      </w:r>
    </w:p>
    <w:p w:rsidR="00987F3F" w:rsidRDefault="00987F3F" w:rsidP="00B473CC">
      <w:pPr>
        <w:rPr>
          <w:b/>
        </w:rPr>
      </w:pPr>
    </w:p>
    <w:p w:rsidR="00F15DC2" w:rsidRDefault="00F15DC2" w:rsidP="00987F3F">
      <w:pPr>
        <w:rPr>
          <w:b/>
        </w:rPr>
      </w:pPr>
    </w:p>
    <w:p w:rsidR="00F15DC2" w:rsidRDefault="00F15DC2" w:rsidP="00987F3F">
      <w:pPr>
        <w:rPr>
          <w:b/>
        </w:rPr>
      </w:pPr>
    </w:p>
    <w:p w:rsidR="00F15DC2" w:rsidRDefault="00F15DC2" w:rsidP="00987F3F">
      <w:pPr>
        <w:rPr>
          <w:b/>
        </w:rPr>
      </w:pPr>
    </w:p>
    <w:p w:rsidR="00F15DC2" w:rsidRDefault="00F15DC2" w:rsidP="00987F3F">
      <w:pPr>
        <w:rPr>
          <w:b/>
        </w:rPr>
      </w:pPr>
    </w:p>
    <w:p w:rsidR="00987F3F" w:rsidRDefault="00B473CC" w:rsidP="00987F3F">
      <w:pPr>
        <w:rPr>
          <w:b/>
        </w:rPr>
      </w:pPr>
      <w:r w:rsidRPr="00B473CC">
        <w:rPr>
          <w:b/>
        </w:rPr>
        <w:t>Section 8</w:t>
      </w:r>
      <w:r w:rsidR="00280D4B">
        <w:rPr>
          <w:b/>
        </w:rPr>
        <w:t xml:space="preserve"> – Looking to the future</w:t>
      </w:r>
    </w:p>
    <w:p w:rsidR="00B473CC" w:rsidRPr="00987F3F" w:rsidRDefault="00B473CC" w:rsidP="00341D13">
      <w:pPr>
        <w:pStyle w:val="Heading3"/>
        <w:numPr>
          <w:ilvl w:val="0"/>
          <w:numId w:val="37"/>
        </w:numPr>
      </w:pPr>
      <w:bookmarkStart w:id="25" w:name="_Toc381268929"/>
      <w:r w:rsidRPr="00B473CC">
        <w:t>What needs to happen to improve the social inclusion of Victorians with a disability into the future?</w:t>
      </w:r>
      <w:bookmarkEnd w:id="25"/>
    </w:p>
    <w:p w:rsidR="00987F3F" w:rsidRDefault="00987F3F" w:rsidP="00987F3F"/>
    <w:p w:rsidR="0050524C" w:rsidRDefault="00E246C7" w:rsidP="003049BA">
      <w:pPr>
        <w:ind w:left="360"/>
      </w:pPr>
      <w:r>
        <w:rPr>
          <w:rFonts w:cs="Arial"/>
        </w:rPr>
        <w:t>Based on the discussion above, increasing the social inclusion of Victorians who are blind or have low vision will require concerted action</w:t>
      </w:r>
      <w:r w:rsidR="000D65D8">
        <w:rPr>
          <w:rFonts w:cs="Arial"/>
        </w:rPr>
        <w:t xml:space="preserve"> from the Victorian Government</w:t>
      </w:r>
      <w:r w:rsidR="0022503D">
        <w:rPr>
          <w:rFonts w:cs="Arial"/>
        </w:rPr>
        <w:t>,</w:t>
      </w:r>
      <w:r w:rsidR="000D65D8">
        <w:rPr>
          <w:rFonts w:cs="Arial"/>
        </w:rPr>
        <w:t xml:space="preserve"> </w:t>
      </w:r>
      <w:proofErr w:type="gramStart"/>
      <w:r w:rsidR="0022503D">
        <w:rPr>
          <w:rFonts w:cs="Arial"/>
        </w:rPr>
        <w:t>working</w:t>
      </w:r>
      <w:proofErr w:type="gramEnd"/>
      <w:r w:rsidR="0022503D">
        <w:rPr>
          <w:rFonts w:cs="Arial"/>
        </w:rPr>
        <w:t xml:space="preserve"> in conjunction with</w:t>
      </w:r>
      <w:r w:rsidR="000D65D8">
        <w:rPr>
          <w:rFonts w:cs="Arial"/>
        </w:rPr>
        <w:t xml:space="preserve"> the </w:t>
      </w:r>
      <w:r w:rsidR="00751D8A">
        <w:rPr>
          <w:rFonts w:cs="Arial"/>
        </w:rPr>
        <w:t>community sector</w:t>
      </w:r>
      <w:r>
        <w:rPr>
          <w:rFonts w:cs="Arial"/>
        </w:rPr>
        <w:t xml:space="preserve">. The first priority is to tackle the high rates of unemployment </w:t>
      </w:r>
      <w:r w:rsidR="0022503D">
        <w:rPr>
          <w:rFonts w:cs="Arial"/>
        </w:rPr>
        <w:t>amongst the</w:t>
      </w:r>
      <w:r>
        <w:rPr>
          <w:rFonts w:cs="Arial"/>
        </w:rPr>
        <w:t xml:space="preserve"> blindness and low vision community, as </w:t>
      </w:r>
      <w:r w:rsidR="000432A1">
        <w:rPr>
          <w:rFonts w:cs="Arial"/>
        </w:rPr>
        <w:t>unemployment</w:t>
      </w:r>
      <w:r>
        <w:rPr>
          <w:rFonts w:cs="Arial"/>
        </w:rPr>
        <w:t xml:space="preserve"> </w:t>
      </w:r>
      <w:r w:rsidR="0022503D">
        <w:rPr>
          <w:rFonts w:cs="Arial"/>
        </w:rPr>
        <w:t>has a negative impact</w:t>
      </w:r>
      <w:r>
        <w:rPr>
          <w:rFonts w:cs="Arial"/>
        </w:rPr>
        <w:t xml:space="preserve"> on </w:t>
      </w:r>
      <w:r w:rsidR="00E01E6C">
        <w:rPr>
          <w:rFonts w:cs="Arial"/>
        </w:rPr>
        <w:t>multiple</w:t>
      </w:r>
      <w:r w:rsidR="00751D8A">
        <w:rPr>
          <w:rFonts w:cs="Arial"/>
        </w:rPr>
        <w:t xml:space="preserve"> indice</w:t>
      </w:r>
      <w:r w:rsidR="00E01E6C">
        <w:rPr>
          <w:rFonts w:cs="Arial"/>
        </w:rPr>
        <w:t xml:space="preserve">s of social inclusion. </w:t>
      </w:r>
      <w:r w:rsidR="000D65D8">
        <w:rPr>
          <w:rFonts w:cs="Arial"/>
        </w:rPr>
        <w:t>Achieving this</w:t>
      </w:r>
      <w:r>
        <w:rPr>
          <w:rFonts w:cs="Arial"/>
        </w:rPr>
        <w:t xml:space="preserve"> will require a greater </w:t>
      </w:r>
      <w:r w:rsidR="000432A1">
        <w:rPr>
          <w:rFonts w:cs="Arial"/>
        </w:rPr>
        <w:t>recognition</w:t>
      </w:r>
      <w:r>
        <w:rPr>
          <w:rFonts w:cs="Arial"/>
        </w:rPr>
        <w:t xml:space="preserve"> of the needs and capacity of people who are blind or have low vision</w:t>
      </w:r>
      <w:r w:rsidR="000432A1">
        <w:rPr>
          <w:rFonts w:cs="Arial"/>
        </w:rPr>
        <w:t xml:space="preserve"> within the community</w:t>
      </w:r>
      <w:r w:rsidR="00A07046">
        <w:rPr>
          <w:rFonts w:cs="Arial"/>
        </w:rPr>
        <w:t>. Of equal importance are</w:t>
      </w:r>
      <w:r w:rsidR="00E01E6C">
        <w:rPr>
          <w:rFonts w:cs="Arial"/>
        </w:rPr>
        <w:t xml:space="preserve"> i</w:t>
      </w:r>
      <w:r w:rsidR="00E01E6C" w:rsidRPr="00AA06C9">
        <w:rPr>
          <w:rFonts w:cs="Arial"/>
        </w:rPr>
        <w:t>ncreased education</w:t>
      </w:r>
      <w:r w:rsidR="00E01E6C">
        <w:rPr>
          <w:rFonts w:cs="Arial"/>
        </w:rPr>
        <w:t xml:space="preserve">al opportunities and </w:t>
      </w:r>
      <w:r w:rsidR="00A07046">
        <w:rPr>
          <w:rFonts w:cs="Arial"/>
        </w:rPr>
        <w:t xml:space="preserve">specialist </w:t>
      </w:r>
      <w:r w:rsidR="00E01E6C">
        <w:rPr>
          <w:rFonts w:cs="Arial"/>
        </w:rPr>
        <w:t>supports</w:t>
      </w:r>
      <w:r w:rsidR="0050524C">
        <w:rPr>
          <w:rFonts w:cs="Arial"/>
        </w:rPr>
        <w:t xml:space="preserve"> for Victorians who are blind or have low vision. </w:t>
      </w:r>
      <w:r w:rsidR="0050524C">
        <w:t xml:space="preserve">Access to information in accessible formats and adaptive technology </w:t>
      </w:r>
      <w:r w:rsidR="00A07046">
        <w:t>is vital</w:t>
      </w:r>
      <w:r w:rsidR="0050524C">
        <w:t xml:space="preserve"> in ensuring that Victorians with vision loss can make the most of their education and then successfully integrate into the workforce.</w:t>
      </w:r>
    </w:p>
    <w:p w:rsidR="0050524C" w:rsidRDefault="0050524C" w:rsidP="00E246C7"/>
    <w:p w:rsidR="00E246C7" w:rsidRPr="00987F3F" w:rsidRDefault="0050524C" w:rsidP="003049BA">
      <w:pPr>
        <w:ind w:left="360"/>
      </w:pPr>
      <w:r>
        <w:t xml:space="preserve">While education and </w:t>
      </w:r>
      <w:r w:rsidR="00A07046">
        <w:t xml:space="preserve">employment are key determinants, social inclusion is also influenced by </w:t>
      </w:r>
      <w:r w:rsidR="00E246C7">
        <w:t xml:space="preserve">access </w:t>
      </w:r>
      <w:r w:rsidR="00A07046">
        <w:t xml:space="preserve">to community services. </w:t>
      </w:r>
      <w:r w:rsidR="00B14B57">
        <w:t>Public transport acts as a lifeline to Victorians who are blind or have low vision. Therefore, it is crucial that public transport operators ensure that accessibility features, such as audible announcements and TGSI</w:t>
      </w:r>
      <w:r w:rsidR="0022503D">
        <w:t>’s</w:t>
      </w:r>
      <w:r w:rsidR="00B14B57">
        <w:t xml:space="preserve">, are </w:t>
      </w:r>
      <w:r w:rsidR="0022503D">
        <w:t>provided</w:t>
      </w:r>
      <w:r w:rsidR="00B14B57">
        <w:t xml:space="preserve">. </w:t>
      </w:r>
      <w:r w:rsidR="00A07046">
        <w:t>It is</w:t>
      </w:r>
      <w:r w:rsidR="00B14B57">
        <w:t xml:space="preserve"> also</w:t>
      </w:r>
      <w:r w:rsidR="00A07046">
        <w:t xml:space="preserve"> important that public infrastructure is designed in accordance with universal access standards to facilitate easy access by Victorians w</w:t>
      </w:r>
      <w:r w:rsidR="00B14B57">
        <w:t xml:space="preserve">ho are blind or have low vision and </w:t>
      </w:r>
      <w:r w:rsidR="00E246C7">
        <w:t>that ac</w:t>
      </w:r>
      <w:r w:rsidR="003049BA">
        <w:t>cessibility is considered when</w:t>
      </w:r>
      <w:r w:rsidR="00E246C7">
        <w:t xml:space="preserve"> technology</w:t>
      </w:r>
      <w:r w:rsidR="003049BA">
        <w:t xml:space="preserve"> is adopted in public settings.</w:t>
      </w:r>
    </w:p>
    <w:p w:rsidR="00987F3F" w:rsidRPr="00987F3F" w:rsidRDefault="00987F3F"/>
    <w:sectPr w:rsidR="00987F3F" w:rsidRPr="00987F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EF" w:rsidRDefault="000E5AEF" w:rsidP="000E5AEF">
      <w:r>
        <w:separator/>
      </w:r>
    </w:p>
  </w:endnote>
  <w:endnote w:type="continuationSeparator" w:id="0">
    <w:p w:rsidR="000E5AEF" w:rsidRDefault="000E5AEF" w:rsidP="000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EF" w:rsidRDefault="000E5AEF" w:rsidP="000E5AEF">
      <w:r>
        <w:separator/>
      </w:r>
    </w:p>
  </w:footnote>
  <w:footnote w:type="continuationSeparator" w:id="0">
    <w:p w:rsidR="000E5AEF" w:rsidRDefault="000E5AEF" w:rsidP="000E5AEF">
      <w:r>
        <w:continuationSeparator/>
      </w:r>
    </w:p>
  </w:footnote>
  <w:footnote w:id="1">
    <w:p w:rsidR="005E236A" w:rsidRDefault="005E236A">
      <w:pPr>
        <w:pStyle w:val="FootnoteText"/>
      </w:pPr>
      <w:r>
        <w:rPr>
          <w:rStyle w:val="FootnoteReference"/>
        </w:rPr>
        <w:footnoteRef/>
      </w:r>
      <w:r>
        <w:t xml:space="preserve"> United Nations, 2013, Working Definition of Social Inclusion, Geneva: Switzerland.  Retrieved 27</w:t>
      </w:r>
      <w:r w:rsidRPr="005E236A">
        <w:rPr>
          <w:vertAlign w:val="superscript"/>
        </w:rPr>
        <w:t>th</w:t>
      </w:r>
      <w:r>
        <w:t xml:space="preserve"> February 2014 from: &lt;</w:t>
      </w:r>
      <w:r w:rsidRPr="005E236A">
        <w:t>http://undesadspd.org/SocialIntegration/Definition.aspx</w:t>
      </w:r>
      <w:r>
        <w:t>&gt;</w:t>
      </w:r>
    </w:p>
  </w:footnote>
  <w:footnote w:id="2">
    <w:p w:rsidR="0030284A" w:rsidRDefault="0030284A">
      <w:pPr>
        <w:pStyle w:val="FootnoteText"/>
      </w:pPr>
      <w:r>
        <w:rPr>
          <w:rStyle w:val="FootnoteReference"/>
        </w:rPr>
        <w:footnoteRef/>
      </w:r>
      <w:r>
        <w:t xml:space="preserve"> Smyth, Paul (2010), </w:t>
      </w:r>
      <w:proofErr w:type="gramStart"/>
      <w:r>
        <w:t>In</w:t>
      </w:r>
      <w:proofErr w:type="gramEnd"/>
      <w:r>
        <w:t xml:space="preserve"> or out: building an inclusive nation, The Australian Collaboration and Brotherhood of St Laurence, Melbourne. Retrieved from: &lt;</w:t>
      </w:r>
      <w:r w:rsidRPr="0030284A">
        <w:t>http://www.bsl.org.au/pdfs/Smyth_In_or_out_building_an_inclusive_nation.pdf</w:t>
      </w:r>
      <w:r>
        <w:t>&gt;</w:t>
      </w:r>
    </w:p>
  </w:footnote>
  <w:footnote w:id="3">
    <w:p w:rsidR="008E5257" w:rsidRDefault="008E5257">
      <w:pPr>
        <w:pStyle w:val="FootnoteText"/>
      </w:pPr>
      <w:r>
        <w:rPr>
          <w:rStyle w:val="FootnoteReference"/>
        </w:rPr>
        <w:footnoteRef/>
      </w:r>
      <w:r>
        <w:t xml:space="preserve"> </w:t>
      </w:r>
      <w:r w:rsidR="000B47F4">
        <w:rPr>
          <w:rFonts w:cs="Arial"/>
        </w:rPr>
        <w:t>Blind Citizens Australia (2012)</w:t>
      </w:r>
      <w:r w:rsidRPr="00D96B18">
        <w:rPr>
          <w:rFonts w:cs="Arial"/>
        </w:rPr>
        <w:t>,</w:t>
      </w:r>
      <w:r w:rsidR="000B47F4">
        <w:rPr>
          <w:rFonts w:cs="Arial"/>
        </w:rPr>
        <w:t xml:space="preserve"> </w:t>
      </w:r>
      <w:proofErr w:type="gramStart"/>
      <w:r w:rsidR="000B47F4">
        <w:rPr>
          <w:rFonts w:cs="Arial"/>
        </w:rPr>
        <w:t>Tell</w:t>
      </w:r>
      <w:proofErr w:type="gramEnd"/>
      <w:r w:rsidR="000B47F4">
        <w:rPr>
          <w:rFonts w:cs="Arial"/>
        </w:rPr>
        <w:t xml:space="preserve"> me where I am!  </w:t>
      </w:r>
      <w:r w:rsidR="000B47F4" w:rsidRPr="000B47F4">
        <w:rPr>
          <w:rFonts w:cs="Arial"/>
        </w:rPr>
        <w:t>Audible announcements and the experience of people who are blind or vision impaired on Melbourne transport</w:t>
      </w:r>
      <w:r w:rsidR="000B47F4">
        <w:rPr>
          <w:rFonts w:cs="Arial"/>
        </w:rPr>
        <w:t>, BCA, Melbourne. Retrieved from: &lt;</w:t>
      </w:r>
      <w:hyperlink r:id="rId1" w:history="1">
        <w:r w:rsidRPr="00D96B18">
          <w:rPr>
            <w:rStyle w:val="Hyperlink"/>
            <w:rFonts w:cs="Arial"/>
          </w:rPr>
          <w:t>http://www.bca.org.au/attachments/Blind%20Citizens%20Australia%20-%20Tell%20me%20where%20I%20am!%20Audible%20announcements%20report%202012%2012%20FINAL.doc</w:t>
        </w:r>
      </w:hyperlink>
      <w:r w:rsidR="000B47F4">
        <w:rPr>
          <w:rFonts w:cs="Arial"/>
          <w:color w:val="0000FF"/>
        </w:rPr>
        <w:t>&gt;</w:t>
      </w:r>
    </w:p>
  </w:footnote>
  <w:footnote w:id="4">
    <w:p w:rsidR="00915BB4" w:rsidRDefault="00915BB4">
      <w:pPr>
        <w:pStyle w:val="FootnoteText"/>
      </w:pPr>
      <w:r>
        <w:rPr>
          <w:rStyle w:val="FootnoteReference"/>
        </w:rPr>
        <w:footnoteRef/>
      </w:r>
      <w:r>
        <w:t xml:space="preserve"> Australian Bureau of Statistics (2013) </w:t>
      </w:r>
      <w:r w:rsidRPr="00915BB4">
        <w:t>Population Projections, Australia, 2012 (base) to 2101</w:t>
      </w:r>
      <w:r>
        <w:t xml:space="preserve"> – catalogue no. </w:t>
      </w:r>
      <w:r w:rsidRPr="00915BB4">
        <w:t>3</w:t>
      </w:r>
      <w:r>
        <w:t>222.0</w:t>
      </w:r>
    </w:p>
  </w:footnote>
  <w:footnote w:id="5">
    <w:p w:rsidR="00E246C7" w:rsidRPr="002E125F" w:rsidRDefault="00E246C7" w:rsidP="00E246C7">
      <w:pPr>
        <w:rPr>
          <w:sz w:val="20"/>
          <w:szCs w:val="20"/>
        </w:rPr>
      </w:pPr>
      <w:r>
        <w:rPr>
          <w:rStyle w:val="FootnoteReference"/>
        </w:rPr>
        <w:footnoteRef/>
      </w:r>
      <w:r>
        <w:t xml:space="preserve"> </w:t>
      </w:r>
      <w:proofErr w:type="spellStart"/>
      <w:r w:rsidRPr="002E125F">
        <w:rPr>
          <w:sz w:val="20"/>
          <w:szCs w:val="20"/>
        </w:rPr>
        <w:t>Spoehr</w:t>
      </w:r>
      <w:proofErr w:type="spellEnd"/>
      <w:r w:rsidRPr="002E125F">
        <w:rPr>
          <w:sz w:val="20"/>
          <w:szCs w:val="20"/>
        </w:rPr>
        <w:t xml:space="preserve">, J., Wilson, L., Barnett, K., </w:t>
      </w:r>
      <w:proofErr w:type="spellStart"/>
      <w:r w:rsidRPr="002E125F">
        <w:rPr>
          <w:sz w:val="20"/>
          <w:szCs w:val="20"/>
        </w:rPr>
        <w:t>Toth</w:t>
      </w:r>
      <w:proofErr w:type="spellEnd"/>
      <w:r w:rsidRPr="002E125F">
        <w:rPr>
          <w:sz w:val="20"/>
          <w:szCs w:val="20"/>
        </w:rPr>
        <w:t>, T. &amp; Watson-Tran, A. (2007), Measuring Social Inclusion</w:t>
      </w:r>
    </w:p>
    <w:p w:rsidR="00E246C7" w:rsidRPr="002E125F" w:rsidRDefault="00E246C7" w:rsidP="002E125F">
      <w:pPr>
        <w:rPr>
          <w:sz w:val="20"/>
          <w:szCs w:val="20"/>
        </w:rPr>
      </w:pPr>
      <w:r w:rsidRPr="002E125F">
        <w:rPr>
          <w:sz w:val="20"/>
          <w:szCs w:val="20"/>
        </w:rPr>
        <w:t>And Exclusion In Northern Adelaide: a  report for the department of health , Australian Institute for Social Research, Adelaide pp. 30</w:t>
      </w:r>
    </w:p>
  </w:footnote>
  <w:footnote w:id="6">
    <w:p w:rsidR="002E125F" w:rsidRPr="002E125F" w:rsidRDefault="002E125F" w:rsidP="002E125F">
      <w:pPr>
        <w:autoSpaceDE w:val="0"/>
        <w:autoSpaceDN w:val="0"/>
        <w:adjustRightInd w:val="0"/>
        <w:rPr>
          <w:rFonts w:cs="Arial"/>
          <w:bCs/>
          <w:sz w:val="20"/>
          <w:szCs w:val="20"/>
        </w:rPr>
      </w:pPr>
      <w:r w:rsidRPr="002E125F">
        <w:rPr>
          <w:rStyle w:val="FootnoteReference"/>
          <w:sz w:val="20"/>
          <w:szCs w:val="20"/>
        </w:rPr>
        <w:footnoteRef/>
      </w:r>
      <w:r w:rsidRPr="002E125F">
        <w:rPr>
          <w:sz w:val="20"/>
          <w:szCs w:val="20"/>
        </w:rPr>
        <w:t xml:space="preserve"> </w:t>
      </w:r>
      <w:proofErr w:type="spellStart"/>
      <w:r w:rsidRPr="002E125F">
        <w:rPr>
          <w:sz w:val="20"/>
          <w:szCs w:val="20"/>
        </w:rPr>
        <w:t>Scutella</w:t>
      </w:r>
      <w:proofErr w:type="spellEnd"/>
      <w:r w:rsidRPr="002E125F">
        <w:rPr>
          <w:sz w:val="20"/>
          <w:szCs w:val="20"/>
        </w:rPr>
        <w:t xml:space="preserve">, R., Wilkins, R. &amp; </w:t>
      </w:r>
      <w:proofErr w:type="spellStart"/>
      <w:r w:rsidRPr="002E125F">
        <w:rPr>
          <w:sz w:val="20"/>
          <w:szCs w:val="20"/>
        </w:rPr>
        <w:t>Kostenko</w:t>
      </w:r>
      <w:proofErr w:type="spellEnd"/>
      <w:r w:rsidRPr="002E125F">
        <w:rPr>
          <w:sz w:val="20"/>
          <w:szCs w:val="20"/>
        </w:rPr>
        <w:t xml:space="preserve">, W. (2009), </w:t>
      </w:r>
      <w:r>
        <w:rPr>
          <w:rFonts w:cs="Arial"/>
          <w:bCs/>
          <w:sz w:val="20"/>
          <w:szCs w:val="20"/>
        </w:rPr>
        <w:t>Estimates of p</w:t>
      </w:r>
      <w:r w:rsidRPr="002E125F">
        <w:rPr>
          <w:rFonts w:cs="Arial"/>
          <w:bCs/>
          <w:sz w:val="20"/>
          <w:szCs w:val="20"/>
        </w:rPr>
        <w:t>overty and</w:t>
      </w:r>
      <w:r>
        <w:rPr>
          <w:rFonts w:cs="Arial"/>
          <w:bCs/>
          <w:sz w:val="20"/>
          <w:szCs w:val="20"/>
        </w:rPr>
        <w:t xml:space="preserve"> social e</w:t>
      </w:r>
      <w:r w:rsidRPr="002E125F">
        <w:rPr>
          <w:rFonts w:cs="Arial"/>
          <w:bCs/>
          <w:sz w:val="20"/>
          <w:szCs w:val="20"/>
        </w:rPr>
        <w:t xml:space="preserve">xclusion in Australia: </w:t>
      </w:r>
      <w:r>
        <w:rPr>
          <w:rFonts w:cs="Arial"/>
          <w:bCs/>
          <w:sz w:val="20"/>
          <w:szCs w:val="20"/>
        </w:rPr>
        <w:t>a multidimensional a</w:t>
      </w:r>
      <w:r w:rsidRPr="002E125F">
        <w:rPr>
          <w:rFonts w:cs="Arial"/>
          <w:bCs/>
          <w:sz w:val="20"/>
          <w:szCs w:val="20"/>
        </w:rPr>
        <w:t>pproach</w:t>
      </w:r>
      <w:r>
        <w:rPr>
          <w:rFonts w:cs="Arial"/>
          <w:bCs/>
          <w:sz w:val="20"/>
          <w:szCs w:val="20"/>
        </w:rPr>
        <w:t>, BSL &amp; MIAESR, Melbourne.</w:t>
      </w:r>
    </w:p>
  </w:footnote>
  <w:footnote w:id="7">
    <w:p w:rsidR="002E125F" w:rsidRDefault="002E125F">
      <w:pPr>
        <w:pStyle w:val="FootnoteText"/>
      </w:pPr>
      <w:r>
        <w:rPr>
          <w:rStyle w:val="FootnoteReference"/>
        </w:rPr>
        <w:footnoteRef/>
      </w:r>
      <w:r>
        <w:t xml:space="preserve"> </w:t>
      </w:r>
      <w:r w:rsidR="003E4F65">
        <w:t>Retrieved from: &lt;</w:t>
      </w:r>
      <w:r w:rsidRPr="002E125F">
        <w:t>http://www.bsl.org.au/Social-exclusion-monitor/Measuring-social-exclusion.aspx</w:t>
      </w:r>
      <w:r w:rsidR="003E4F65">
        <w:t>&gt;</w:t>
      </w:r>
    </w:p>
  </w:footnote>
  <w:footnote w:id="8">
    <w:p w:rsidR="00BB78BB" w:rsidRPr="00BB78BB" w:rsidRDefault="00BB78BB" w:rsidP="00BB78BB">
      <w:pPr>
        <w:autoSpaceDE w:val="0"/>
        <w:autoSpaceDN w:val="0"/>
        <w:adjustRightInd w:val="0"/>
        <w:rPr>
          <w:rFonts w:ascii="LucidaSansUnicode" w:hAnsi="LucidaSansUnicode" w:cs="LucidaSansUnicode"/>
          <w:sz w:val="21"/>
          <w:szCs w:val="21"/>
        </w:rPr>
      </w:pPr>
      <w:r>
        <w:rPr>
          <w:rStyle w:val="FootnoteReference"/>
        </w:rPr>
        <w:footnoteRef/>
      </w:r>
      <w:r>
        <w:rPr>
          <w:rFonts w:ascii="LucidaSansUnicode" w:hAnsi="LucidaSansUnicode" w:cs="LucidaSansUnicode"/>
          <w:sz w:val="20"/>
          <w:szCs w:val="20"/>
        </w:rPr>
        <w:t xml:space="preserve">Policy Research Initiative (2005a) </w:t>
      </w:r>
      <w:r>
        <w:rPr>
          <w:rFonts w:ascii="LucidaSansUnicode" w:hAnsi="LucidaSansUnicode" w:cs="LucidaSansUnicode"/>
          <w:sz w:val="21"/>
          <w:szCs w:val="21"/>
        </w:rPr>
        <w:t xml:space="preserve">Social capital as a public policy tool: Project Report, </w:t>
      </w:r>
      <w:r>
        <w:rPr>
          <w:rFonts w:ascii="LucidaSansUnicode" w:hAnsi="LucidaSansUnicode" w:cs="LucidaSansUnicode"/>
          <w:sz w:val="20"/>
          <w:szCs w:val="20"/>
        </w:rPr>
        <w:t>, Government of Canada, September 2005</w:t>
      </w:r>
    </w:p>
  </w:footnote>
  <w:footnote w:id="9">
    <w:p w:rsidR="00E246C7" w:rsidRDefault="00E246C7" w:rsidP="00E246C7">
      <w:pPr>
        <w:pStyle w:val="FootnoteText"/>
      </w:pPr>
      <w:r>
        <w:rPr>
          <w:rStyle w:val="FootnoteReference"/>
        </w:rPr>
        <w:footnoteRef/>
      </w:r>
      <w:r>
        <w:t xml:space="preserve"> </w:t>
      </w:r>
      <w:proofErr w:type="spellStart"/>
      <w:r>
        <w:t>Spoehr</w:t>
      </w:r>
      <w:proofErr w:type="spellEnd"/>
      <w:r>
        <w:t xml:space="preserve">, J., Wilson, L., Barnett, K., </w:t>
      </w:r>
      <w:proofErr w:type="spellStart"/>
      <w:r>
        <w:t>Toth</w:t>
      </w:r>
      <w:proofErr w:type="spellEnd"/>
      <w:r>
        <w:t>, T. &amp; Watson-Tran, A. (2007), Measuring Social Inclusion</w:t>
      </w:r>
    </w:p>
    <w:p w:rsidR="00E246C7" w:rsidRDefault="0022503D" w:rsidP="00E246C7">
      <w:pPr>
        <w:pStyle w:val="FootnoteText"/>
      </w:pPr>
      <w:r>
        <w:t>a</w:t>
      </w:r>
      <w:r w:rsidR="00E246C7">
        <w:t xml:space="preserve">nd Exclusion In Northern Adelaide: </w:t>
      </w:r>
      <w:r>
        <w:t xml:space="preserve"> A  report for the Department of H</w:t>
      </w:r>
      <w:r w:rsidR="00E246C7">
        <w:t>ealth , Australian Institute for Social Research, Adelaide pp.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61" w:rsidRDefault="00F51461" w:rsidP="00F51461">
    <w:pPr>
      <w:pStyle w:val="Header"/>
      <w:jc w:val="center"/>
    </w:pPr>
    <w:r>
      <w:rPr>
        <w:noProof/>
      </w:rPr>
      <w:drawing>
        <wp:inline distT="0" distB="0" distL="0" distR="0" wp14:anchorId="3E19EB6F" wp14:editId="0369DFD0">
          <wp:extent cx="2860040" cy="1297305"/>
          <wp:effectExtent l="0" t="0" r="0" b="0"/>
          <wp:docPr id="1" name="Picture 1" descr="\\koofnp01v\users$\AFeldman\Resources\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AFeldman\Resources\V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1297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2239"/>
    <w:multiLevelType w:val="hybridMultilevel"/>
    <w:tmpl w:val="F41C7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F7819"/>
    <w:multiLevelType w:val="hybridMultilevel"/>
    <w:tmpl w:val="68E23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F72BDA"/>
    <w:multiLevelType w:val="hybridMultilevel"/>
    <w:tmpl w:val="91FCD3D4"/>
    <w:lvl w:ilvl="0" w:tplc="1FC64CF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35A72"/>
    <w:multiLevelType w:val="hybridMultilevel"/>
    <w:tmpl w:val="AC4A4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9078AA"/>
    <w:multiLevelType w:val="hybridMultilevel"/>
    <w:tmpl w:val="2C728C60"/>
    <w:lvl w:ilvl="0" w:tplc="5866DE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7F4CCF"/>
    <w:multiLevelType w:val="hybridMultilevel"/>
    <w:tmpl w:val="E2A68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EA9115D"/>
    <w:multiLevelType w:val="hybridMultilevel"/>
    <w:tmpl w:val="5E5A2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804CF6"/>
    <w:multiLevelType w:val="hybridMultilevel"/>
    <w:tmpl w:val="36500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70581D"/>
    <w:multiLevelType w:val="hybridMultilevel"/>
    <w:tmpl w:val="4628C126"/>
    <w:lvl w:ilvl="0" w:tplc="0C090005">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20916E1"/>
    <w:multiLevelType w:val="hybridMultilevel"/>
    <w:tmpl w:val="2E20D840"/>
    <w:lvl w:ilvl="0" w:tplc="912EF3A4">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nsid w:val="13560FEE"/>
    <w:multiLevelType w:val="hybridMultilevel"/>
    <w:tmpl w:val="98125A38"/>
    <w:lvl w:ilvl="0" w:tplc="3E3C0BD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5C4241D"/>
    <w:multiLevelType w:val="hybridMultilevel"/>
    <w:tmpl w:val="52BC7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2A5E18"/>
    <w:multiLevelType w:val="hybridMultilevel"/>
    <w:tmpl w:val="19425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660125"/>
    <w:multiLevelType w:val="hybridMultilevel"/>
    <w:tmpl w:val="46CEA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E1B2B1C"/>
    <w:multiLevelType w:val="hybridMultilevel"/>
    <w:tmpl w:val="59068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995C82"/>
    <w:multiLevelType w:val="hybridMultilevel"/>
    <w:tmpl w:val="F24C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BB4941"/>
    <w:multiLevelType w:val="hybridMultilevel"/>
    <w:tmpl w:val="74F2E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E05E6B"/>
    <w:multiLevelType w:val="hybridMultilevel"/>
    <w:tmpl w:val="8794D03C"/>
    <w:lvl w:ilvl="0" w:tplc="D22C7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1C0D37"/>
    <w:multiLevelType w:val="hybridMultilevel"/>
    <w:tmpl w:val="00344D24"/>
    <w:lvl w:ilvl="0" w:tplc="D90C3A36">
      <w:start w:val="1"/>
      <w:numFmt w:val="decimal"/>
      <w:lvlText w:val="%1."/>
      <w:lvlJc w:val="left"/>
      <w:pPr>
        <w:ind w:left="720" w:hanging="360"/>
      </w:pPr>
      <w:rPr>
        <w:rFonts w:ascii="LucidaSansUnicode" w:eastAsia="Times New Roman" w:hAnsi="LucidaSansUnicode" w:cs="LucidaSansUnicode"/>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9D54B4"/>
    <w:multiLevelType w:val="hybridMultilevel"/>
    <w:tmpl w:val="8EC8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55224"/>
    <w:multiLevelType w:val="hybridMultilevel"/>
    <w:tmpl w:val="205829D2"/>
    <w:lvl w:ilvl="0" w:tplc="58727372">
      <w:start w:val="1"/>
      <w:numFmt w:val="decimal"/>
      <w:lvlText w:val="%1."/>
      <w:lvlJc w:val="left"/>
      <w:pPr>
        <w:ind w:left="72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723690A"/>
    <w:multiLevelType w:val="hybridMultilevel"/>
    <w:tmpl w:val="266C7110"/>
    <w:lvl w:ilvl="0" w:tplc="24A420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8AA1E5B"/>
    <w:multiLevelType w:val="hybridMultilevel"/>
    <w:tmpl w:val="4C98C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9D7116"/>
    <w:multiLevelType w:val="hybridMultilevel"/>
    <w:tmpl w:val="36D4E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F54EF8"/>
    <w:multiLevelType w:val="hybridMultilevel"/>
    <w:tmpl w:val="02DE3D38"/>
    <w:lvl w:ilvl="0" w:tplc="892E527E">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EB41A2D"/>
    <w:multiLevelType w:val="multilevel"/>
    <w:tmpl w:val="D950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97D07"/>
    <w:multiLevelType w:val="hybridMultilevel"/>
    <w:tmpl w:val="FEF22B60"/>
    <w:lvl w:ilvl="0" w:tplc="EE8C0D64">
      <w:start w:val="1"/>
      <w:numFmt w:val="decimal"/>
      <w:lvlText w:val="%1."/>
      <w:lvlJc w:val="left"/>
      <w:pPr>
        <w:ind w:left="720" w:hanging="360"/>
      </w:pPr>
      <w:rPr>
        <w:rFonts w:hint="default"/>
        <w:color w:val="008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163F5A"/>
    <w:multiLevelType w:val="hybridMultilevel"/>
    <w:tmpl w:val="B122F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564410"/>
    <w:multiLevelType w:val="hybridMultilevel"/>
    <w:tmpl w:val="9E0CBF2E"/>
    <w:lvl w:ilvl="0" w:tplc="5872737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4C2813"/>
    <w:multiLevelType w:val="hybridMultilevel"/>
    <w:tmpl w:val="335E0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3A2A34"/>
    <w:multiLevelType w:val="hybridMultilevel"/>
    <w:tmpl w:val="44F2768E"/>
    <w:lvl w:ilvl="0" w:tplc="881E72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911262"/>
    <w:multiLevelType w:val="hybridMultilevel"/>
    <w:tmpl w:val="C8120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A75AC6"/>
    <w:multiLevelType w:val="hybridMultilevel"/>
    <w:tmpl w:val="2642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13795D"/>
    <w:multiLevelType w:val="hybridMultilevel"/>
    <w:tmpl w:val="75304890"/>
    <w:lvl w:ilvl="0" w:tplc="AB86C726">
      <w:numFmt w:val="bullet"/>
      <w:lvlText w:val=""/>
      <w:lvlJc w:val="left"/>
      <w:pPr>
        <w:ind w:left="420" w:hanging="360"/>
      </w:pPr>
      <w:rPr>
        <w:rFonts w:ascii="Symbol" w:eastAsia="Times New Roman" w:hAnsi="Symbol" w:cs="Times New Roman"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4">
    <w:nsid w:val="60BC606A"/>
    <w:multiLevelType w:val="hybridMultilevel"/>
    <w:tmpl w:val="35A4475C"/>
    <w:lvl w:ilvl="0" w:tplc="8EDE5E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BB09E4"/>
    <w:multiLevelType w:val="hybridMultilevel"/>
    <w:tmpl w:val="607E5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9018B1"/>
    <w:multiLevelType w:val="hybridMultilevel"/>
    <w:tmpl w:val="E54C3366"/>
    <w:lvl w:ilvl="0" w:tplc="0BF4E3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9C5AB3"/>
    <w:multiLevelType w:val="hybridMultilevel"/>
    <w:tmpl w:val="16F04458"/>
    <w:lvl w:ilvl="0" w:tplc="0BF4E3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5054F2"/>
    <w:multiLevelType w:val="hybridMultilevel"/>
    <w:tmpl w:val="98206C7C"/>
    <w:lvl w:ilvl="0" w:tplc="3E3C0B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7B1051F"/>
    <w:multiLevelType w:val="hybridMultilevel"/>
    <w:tmpl w:val="EE9434DE"/>
    <w:lvl w:ilvl="0" w:tplc="9AB6A03E">
      <w:numFmt w:val="bullet"/>
      <w:lvlText w:val=""/>
      <w:lvlJc w:val="left"/>
      <w:pPr>
        <w:ind w:left="720" w:hanging="360"/>
      </w:pPr>
      <w:rPr>
        <w:rFonts w:ascii="Symbol" w:eastAsia="Times New Roman" w:hAnsi="Symbol" w:cs="Arial" w:hint="default"/>
        <w:b w:val="0"/>
        <w:i w:val="0"/>
        <w:color w:val="3E3E3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B16DE6"/>
    <w:multiLevelType w:val="hybridMultilevel"/>
    <w:tmpl w:val="F0744A24"/>
    <w:lvl w:ilvl="0" w:tplc="A4D88FE2">
      <w:start w:val="1"/>
      <w:numFmt w:val="decimal"/>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B7344DB"/>
    <w:multiLevelType w:val="hybridMultilevel"/>
    <w:tmpl w:val="C1AC5C44"/>
    <w:lvl w:ilvl="0" w:tplc="62F2485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1"/>
  </w:num>
  <w:num w:numId="4">
    <w:abstractNumId w:val="27"/>
  </w:num>
  <w:num w:numId="5">
    <w:abstractNumId w:val="7"/>
  </w:num>
  <w:num w:numId="6">
    <w:abstractNumId w:val="18"/>
  </w:num>
  <w:num w:numId="7">
    <w:abstractNumId w:val="35"/>
  </w:num>
  <w:num w:numId="8">
    <w:abstractNumId w:val="22"/>
  </w:num>
  <w:num w:numId="9">
    <w:abstractNumId w:val="23"/>
  </w:num>
  <w:num w:numId="10">
    <w:abstractNumId w:val="15"/>
  </w:num>
  <w:num w:numId="11">
    <w:abstractNumId w:val="26"/>
  </w:num>
  <w:num w:numId="12">
    <w:abstractNumId w:val="32"/>
  </w:num>
  <w:num w:numId="13">
    <w:abstractNumId w:val="24"/>
  </w:num>
  <w:num w:numId="14">
    <w:abstractNumId w:val="13"/>
  </w:num>
  <w:num w:numId="15">
    <w:abstractNumId w:val="3"/>
  </w:num>
  <w:num w:numId="16">
    <w:abstractNumId w:val="12"/>
  </w:num>
  <w:num w:numId="17">
    <w:abstractNumId w:val="8"/>
  </w:num>
  <w:num w:numId="18">
    <w:abstractNumId w:val="40"/>
  </w:num>
  <w:num w:numId="19">
    <w:abstractNumId w:val="5"/>
  </w:num>
  <w:num w:numId="20">
    <w:abstractNumId w:val="1"/>
  </w:num>
  <w:num w:numId="21">
    <w:abstractNumId w:val="41"/>
  </w:num>
  <w:num w:numId="22">
    <w:abstractNumId w:val="33"/>
  </w:num>
  <w:num w:numId="23">
    <w:abstractNumId w:val="25"/>
  </w:num>
  <w:num w:numId="24">
    <w:abstractNumId w:val="6"/>
  </w:num>
  <w:num w:numId="25">
    <w:abstractNumId w:val="16"/>
  </w:num>
  <w:num w:numId="26">
    <w:abstractNumId w:val="38"/>
  </w:num>
  <w:num w:numId="27">
    <w:abstractNumId w:val="10"/>
  </w:num>
  <w:num w:numId="28">
    <w:abstractNumId w:val="20"/>
  </w:num>
  <w:num w:numId="29">
    <w:abstractNumId w:val="28"/>
  </w:num>
  <w:num w:numId="30">
    <w:abstractNumId w:val="37"/>
  </w:num>
  <w:num w:numId="31">
    <w:abstractNumId w:val="36"/>
  </w:num>
  <w:num w:numId="32">
    <w:abstractNumId w:val="14"/>
  </w:num>
  <w:num w:numId="33">
    <w:abstractNumId w:val="17"/>
  </w:num>
  <w:num w:numId="34">
    <w:abstractNumId w:val="30"/>
  </w:num>
  <w:num w:numId="35">
    <w:abstractNumId w:val="4"/>
  </w:num>
  <w:num w:numId="36">
    <w:abstractNumId w:val="21"/>
  </w:num>
  <w:num w:numId="37">
    <w:abstractNumId w:val="34"/>
  </w:num>
  <w:num w:numId="38">
    <w:abstractNumId w:val="29"/>
  </w:num>
  <w:num w:numId="39">
    <w:abstractNumId w:val="19"/>
  </w:num>
  <w:num w:numId="40">
    <w:abstractNumId w:val="0"/>
  </w:num>
  <w:num w:numId="41">
    <w:abstractNumId w:val="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02"/>
    <w:rsid w:val="00000905"/>
    <w:rsid w:val="000053C7"/>
    <w:rsid w:val="00007263"/>
    <w:rsid w:val="000145C5"/>
    <w:rsid w:val="000238DF"/>
    <w:rsid w:val="00030872"/>
    <w:rsid w:val="0004155B"/>
    <w:rsid w:val="000432A1"/>
    <w:rsid w:val="000600F2"/>
    <w:rsid w:val="0007098E"/>
    <w:rsid w:val="000853A2"/>
    <w:rsid w:val="0009427F"/>
    <w:rsid w:val="00094888"/>
    <w:rsid w:val="000B47F4"/>
    <w:rsid w:val="000C6225"/>
    <w:rsid w:val="000D560B"/>
    <w:rsid w:val="000D65D8"/>
    <w:rsid w:val="000E5AEF"/>
    <w:rsid w:val="000F746E"/>
    <w:rsid w:val="00113448"/>
    <w:rsid w:val="001360D1"/>
    <w:rsid w:val="00187F5E"/>
    <w:rsid w:val="001B0237"/>
    <w:rsid w:val="001B3A30"/>
    <w:rsid w:val="001B4DBC"/>
    <w:rsid w:val="001B5737"/>
    <w:rsid w:val="001D1913"/>
    <w:rsid w:val="001E60C2"/>
    <w:rsid w:val="002175FE"/>
    <w:rsid w:val="0022503D"/>
    <w:rsid w:val="002420BF"/>
    <w:rsid w:val="00271D95"/>
    <w:rsid w:val="00271DB6"/>
    <w:rsid w:val="00280D4B"/>
    <w:rsid w:val="002A208D"/>
    <w:rsid w:val="002B67AB"/>
    <w:rsid w:val="002E125F"/>
    <w:rsid w:val="002F12C6"/>
    <w:rsid w:val="002F3631"/>
    <w:rsid w:val="002F7A02"/>
    <w:rsid w:val="0030284A"/>
    <w:rsid w:val="00302EC2"/>
    <w:rsid w:val="003049BA"/>
    <w:rsid w:val="0031186F"/>
    <w:rsid w:val="00325AB0"/>
    <w:rsid w:val="00341D13"/>
    <w:rsid w:val="00342F12"/>
    <w:rsid w:val="0035203E"/>
    <w:rsid w:val="00372E19"/>
    <w:rsid w:val="00383103"/>
    <w:rsid w:val="0038554D"/>
    <w:rsid w:val="00392C0D"/>
    <w:rsid w:val="003C6DFE"/>
    <w:rsid w:val="003E4943"/>
    <w:rsid w:val="003E4F65"/>
    <w:rsid w:val="003E7A8B"/>
    <w:rsid w:val="003F00AB"/>
    <w:rsid w:val="003F32AD"/>
    <w:rsid w:val="004028CF"/>
    <w:rsid w:val="0041404D"/>
    <w:rsid w:val="00415D9D"/>
    <w:rsid w:val="00442B28"/>
    <w:rsid w:val="004629BB"/>
    <w:rsid w:val="004905FE"/>
    <w:rsid w:val="00490866"/>
    <w:rsid w:val="004A3430"/>
    <w:rsid w:val="004B27BE"/>
    <w:rsid w:val="004B5EC9"/>
    <w:rsid w:val="004C4A4A"/>
    <w:rsid w:val="004F1256"/>
    <w:rsid w:val="0050524C"/>
    <w:rsid w:val="00543B54"/>
    <w:rsid w:val="0054736F"/>
    <w:rsid w:val="00570882"/>
    <w:rsid w:val="00587CCA"/>
    <w:rsid w:val="005962FF"/>
    <w:rsid w:val="005A42F7"/>
    <w:rsid w:val="005D0027"/>
    <w:rsid w:val="005D2C45"/>
    <w:rsid w:val="005D57FC"/>
    <w:rsid w:val="005E160A"/>
    <w:rsid w:val="005E236A"/>
    <w:rsid w:val="005E337D"/>
    <w:rsid w:val="005F7A8F"/>
    <w:rsid w:val="0061741C"/>
    <w:rsid w:val="00632837"/>
    <w:rsid w:val="00637EA3"/>
    <w:rsid w:val="00671643"/>
    <w:rsid w:val="006C3806"/>
    <w:rsid w:val="006D4FCB"/>
    <w:rsid w:val="006E6AC7"/>
    <w:rsid w:val="00704311"/>
    <w:rsid w:val="00711A14"/>
    <w:rsid w:val="0072732B"/>
    <w:rsid w:val="00751D8A"/>
    <w:rsid w:val="00757AA9"/>
    <w:rsid w:val="00777C09"/>
    <w:rsid w:val="00784F0F"/>
    <w:rsid w:val="00793258"/>
    <w:rsid w:val="007D4F87"/>
    <w:rsid w:val="007E2078"/>
    <w:rsid w:val="007E3AAF"/>
    <w:rsid w:val="007F5E1A"/>
    <w:rsid w:val="00812A9F"/>
    <w:rsid w:val="0082707F"/>
    <w:rsid w:val="00836976"/>
    <w:rsid w:val="00840929"/>
    <w:rsid w:val="00840A8E"/>
    <w:rsid w:val="0084773C"/>
    <w:rsid w:val="00856938"/>
    <w:rsid w:val="00883016"/>
    <w:rsid w:val="008A7C1B"/>
    <w:rsid w:val="008E5257"/>
    <w:rsid w:val="008E5C01"/>
    <w:rsid w:val="0090078F"/>
    <w:rsid w:val="0091055E"/>
    <w:rsid w:val="00915BB4"/>
    <w:rsid w:val="00942F94"/>
    <w:rsid w:val="0094613B"/>
    <w:rsid w:val="00987F3F"/>
    <w:rsid w:val="009A220D"/>
    <w:rsid w:val="009B0143"/>
    <w:rsid w:val="009D3BE5"/>
    <w:rsid w:val="009D5C50"/>
    <w:rsid w:val="00A008ED"/>
    <w:rsid w:val="00A07046"/>
    <w:rsid w:val="00A27693"/>
    <w:rsid w:val="00A30BDE"/>
    <w:rsid w:val="00A35623"/>
    <w:rsid w:val="00A375BB"/>
    <w:rsid w:val="00A713D4"/>
    <w:rsid w:val="00A7484A"/>
    <w:rsid w:val="00A80DBA"/>
    <w:rsid w:val="00A92F31"/>
    <w:rsid w:val="00AA06C9"/>
    <w:rsid w:val="00AA5B6F"/>
    <w:rsid w:val="00AA78DC"/>
    <w:rsid w:val="00AC124B"/>
    <w:rsid w:val="00AD5DE4"/>
    <w:rsid w:val="00B0068C"/>
    <w:rsid w:val="00B123C7"/>
    <w:rsid w:val="00B14B57"/>
    <w:rsid w:val="00B305C6"/>
    <w:rsid w:val="00B30E06"/>
    <w:rsid w:val="00B44AFB"/>
    <w:rsid w:val="00B473CC"/>
    <w:rsid w:val="00B50D1B"/>
    <w:rsid w:val="00B80E22"/>
    <w:rsid w:val="00B81EED"/>
    <w:rsid w:val="00B96FB7"/>
    <w:rsid w:val="00BA76F1"/>
    <w:rsid w:val="00BB3604"/>
    <w:rsid w:val="00BB45E6"/>
    <w:rsid w:val="00BB6645"/>
    <w:rsid w:val="00BB78BB"/>
    <w:rsid w:val="00BE541D"/>
    <w:rsid w:val="00BF1153"/>
    <w:rsid w:val="00C32BA2"/>
    <w:rsid w:val="00C34171"/>
    <w:rsid w:val="00C567DA"/>
    <w:rsid w:val="00C621BE"/>
    <w:rsid w:val="00C76F4D"/>
    <w:rsid w:val="00C76FD8"/>
    <w:rsid w:val="00C819E2"/>
    <w:rsid w:val="00C964FB"/>
    <w:rsid w:val="00CB5656"/>
    <w:rsid w:val="00CC2AAA"/>
    <w:rsid w:val="00CD4D06"/>
    <w:rsid w:val="00CE6E81"/>
    <w:rsid w:val="00D027E6"/>
    <w:rsid w:val="00D1306C"/>
    <w:rsid w:val="00D40AEC"/>
    <w:rsid w:val="00D57D39"/>
    <w:rsid w:val="00D75F2C"/>
    <w:rsid w:val="00D77177"/>
    <w:rsid w:val="00D81879"/>
    <w:rsid w:val="00D841F6"/>
    <w:rsid w:val="00D85A31"/>
    <w:rsid w:val="00D87438"/>
    <w:rsid w:val="00D923D9"/>
    <w:rsid w:val="00DA445A"/>
    <w:rsid w:val="00DA64B2"/>
    <w:rsid w:val="00DC2D51"/>
    <w:rsid w:val="00DD4D9C"/>
    <w:rsid w:val="00DE3919"/>
    <w:rsid w:val="00E01E6C"/>
    <w:rsid w:val="00E065C7"/>
    <w:rsid w:val="00E1714B"/>
    <w:rsid w:val="00E246C7"/>
    <w:rsid w:val="00E27470"/>
    <w:rsid w:val="00E32783"/>
    <w:rsid w:val="00E331EC"/>
    <w:rsid w:val="00E37156"/>
    <w:rsid w:val="00E455C6"/>
    <w:rsid w:val="00E45A2F"/>
    <w:rsid w:val="00E51F73"/>
    <w:rsid w:val="00E743FC"/>
    <w:rsid w:val="00E84F9D"/>
    <w:rsid w:val="00E91611"/>
    <w:rsid w:val="00E94EB9"/>
    <w:rsid w:val="00EA19C7"/>
    <w:rsid w:val="00EB1476"/>
    <w:rsid w:val="00EE7A85"/>
    <w:rsid w:val="00EF260D"/>
    <w:rsid w:val="00F0511E"/>
    <w:rsid w:val="00F11161"/>
    <w:rsid w:val="00F126F3"/>
    <w:rsid w:val="00F15DC2"/>
    <w:rsid w:val="00F1637B"/>
    <w:rsid w:val="00F371FF"/>
    <w:rsid w:val="00F51461"/>
    <w:rsid w:val="00F72597"/>
    <w:rsid w:val="00FA29B4"/>
    <w:rsid w:val="00FA46DE"/>
    <w:rsid w:val="00FD3139"/>
    <w:rsid w:val="00FE348A"/>
    <w:rsid w:val="00F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53"/>
    <w:rPr>
      <w:rFonts w:ascii="Arial" w:hAnsi="Arial"/>
      <w:sz w:val="24"/>
      <w:szCs w:val="24"/>
    </w:rPr>
  </w:style>
  <w:style w:type="paragraph" w:styleId="Heading1">
    <w:name w:val="heading 1"/>
    <w:basedOn w:val="Normal"/>
    <w:next w:val="Normal"/>
    <w:link w:val="Heading1Char"/>
    <w:qFormat/>
    <w:rsid w:val="00BF115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EA19C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883016"/>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153"/>
    <w:rPr>
      <w:rFonts w:ascii="Arial" w:eastAsiaTheme="majorEastAsia" w:hAnsi="Arial" w:cstheme="majorBidi"/>
      <w:b/>
      <w:bCs/>
      <w:sz w:val="28"/>
      <w:szCs w:val="28"/>
    </w:rPr>
  </w:style>
  <w:style w:type="paragraph" w:styleId="ListParagraph">
    <w:name w:val="List Paragraph"/>
    <w:basedOn w:val="Normal"/>
    <w:uiPriority w:val="34"/>
    <w:qFormat/>
    <w:rsid w:val="00BF1153"/>
    <w:pPr>
      <w:ind w:left="720"/>
      <w:contextualSpacing/>
    </w:pPr>
  </w:style>
  <w:style w:type="character" w:customStyle="1" w:styleId="Heading2Char">
    <w:name w:val="Heading 2 Char"/>
    <w:basedOn w:val="DefaultParagraphFont"/>
    <w:link w:val="Heading2"/>
    <w:rsid w:val="00EA19C7"/>
    <w:rPr>
      <w:rFonts w:ascii="Arial" w:eastAsiaTheme="majorEastAsia" w:hAnsi="Arial" w:cstheme="majorBidi"/>
      <w:b/>
      <w:bCs/>
      <w:sz w:val="24"/>
      <w:szCs w:val="26"/>
    </w:rPr>
  </w:style>
  <w:style w:type="character" w:customStyle="1" w:styleId="Heading3Char">
    <w:name w:val="Heading 3 Char"/>
    <w:basedOn w:val="DefaultParagraphFont"/>
    <w:link w:val="Heading3"/>
    <w:rsid w:val="00883016"/>
    <w:rPr>
      <w:rFonts w:ascii="Arial" w:eastAsiaTheme="majorEastAsia" w:hAnsi="Arial" w:cstheme="majorBidi"/>
      <w:b/>
      <w:bCs/>
      <w:color w:val="000000" w:themeColor="text1"/>
      <w:sz w:val="24"/>
      <w:szCs w:val="24"/>
    </w:rPr>
  </w:style>
  <w:style w:type="character" w:styleId="Strong">
    <w:name w:val="Strong"/>
    <w:basedOn w:val="DefaultParagraphFont"/>
    <w:uiPriority w:val="22"/>
    <w:qFormat/>
    <w:rsid w:val="00CC2AAA"/>
    <w:rPr>
      <w:b/>
      <w:bCs/>
    </w:rPr>
  </w:style>
  <w:style w:type="character" w:customStyle="1" w:styleId="apple-converted-space">
    <w:name w:val="apple-converted-space"/>
    <w:basedOn w:val="DefaultParagraphFont"/>
    <w:rsid w:val="00CC2AAA"/>
  </w:style>
  <w:style w:type="paragraph" w:styleId="FootnoteText">
    <w:name w:val="footnote text"/>
    <w:basedOn w:val="Normal"/>
    <w:link w:val="FootnoteTextChar"/>
    <w:uiPriority w:val="99"/>
    <w:unhideWhenUsed/>
    <w:rsid w:val="000E5AEF"/>
    <w:rPr>
      <w:sz w:val="20"/>
      <w:szCs w:val="20"/>
    </w:rPr>
  </w:style>
  <w:style w:type="character" w:customStyle="1" w:styleId="FootnoteTextChar">
    <w:name w:val="Footnote Text Char"/>
    <w:basedOn w:val="DefaultParagraphFont"/>
    <w:link w:val="FootnoteText"/>
    <w:uiPriority w:val="99"/>
    <w:rsid w:val="000E5AEF"/>
    <w:rPr>
      <w:rFonts w:ascii="Arial" w:hAnsi="Arial"/>
    </w:rPr>
  </w:style>
  <w:style w:type="character" w:styleId="FootnoteReference">
    <w:name w:val="footnote reference"/>
    <w:basedOn w:val="DefaultParagraphFont"/>
    <w:uiPriority w:val="99"/>
    <w:semiHidden/>
    <w:unhideWhenUsed/>
    <w:rsid w:val="000E5AEF"/>
    <w:rPr>
      <w:vertAlign w:val="superscript"/>
    </w:rPr>
  </w:style>
  <w:style w:type="character" w:styleId="Hyperlink">
    <w:name w:val="Hyperlink"/>
    <w:basedOn w:val="DefaultParagraphFont"/>
    <w:uiPriority w:val="99"/>
    <w:unhideWhenUsed/>
    <w:rsid w:val="00415D9D"/>
    <w:rPr>
      <w:color w:val="0000FF" w:themeColor="hyperlink"/>
      <w:u w:val="single"/>
    </w:rPr>
  </w:style>
  <w:style w:type="paragraph" w:styleId="BalloonText">
    <w:name w:val="Balloon Text"/>
    <w:basedOn w:val="Normal"/>
    <w:link w:val="BalloonTextChar"/>
    <w:uiPriority w:val="99"/>
    <w:semiHidden/>
    <w:unhideWhenUsed/>
    <w:rsid w:val="004028CF"/>
    <w:rPr>
      <w:rFonts w:ascii="Tahoma" w:hAnsi="Tahoma" w:cs="Tahoma"/>
      <w:sz w:val="16"/>
      <w:szCs w:val="16"/>
    </w:rPr>
  </w:style>
  <w:style w:type="character" w:customStyle="1" w:styleId="BalloonTextChar">
    <w:name w:val="Balloon Text Char"/>
    <w:basedOn w:val="DefaultParagraphFont"/>
    <w:link w:val="BalloonText"/>
    <w:uiPriority w:val="99"/>
    <w:semiHidden/>
    <w:rsid w:val="004028CF"/>
    <w:rPr>
      <w:rFonts w:ascii="Tahoma" w:hAnsi="Tahoma" w:cs="Tahoma"/>
      <w:sz w:val="16"/>
      <w:szCs w:val="16"/>
    </w:rPr>
  </w:style>
  <w:style w:type="character" w:styleId="FollowedHyperlink">
    <w:name w:val="FollowedHyperlink"/>
    <w:basedOn w:val="DefaultParagraphFont"/>
    <w:uiPriority w:val="99"/>
    <w:semiHidden/>
    <w:unhideWhenUsed/>
    <w:rsid w:val="000B47F4"/>
    <w:rPr>
      <w:color w:val="800080" w:themeColor="followedHyperlink"/>
      <w:u w:val="single"/>
    </w:rPr>
  </w:style>
  <w:style w:type="paragraph" w:styleId="Header">
    <w:name w:val="header"/>
    <w:basedOn w:val="Normal"/>
    <w:link w:val="HeaderChar"/>
    <w:uiPriority w:val="99"/>
    <w:unhideWhenUsed/>
    <w:rsid w:val="00F51461"/>
    <w:pPr>
      <w:tabs>
        <w:tab w:val="center" w:pos="4680"/>
        <w:tab w:val="right" w:pos="9360"/>
      </w:tabs>
    </w:pPr>
  </w:style>
  <w:style w:type="character" w:customStyle="1" w:styleId="HeaderChar">
    <w:name w:val="Header Char"/>
    <w:basedOn w:val="DefaultParagraphFont"/>
    <w:link w:val="Header"/>
    <w:uiPriority w:val="99"/>
    <w:rsid w:val="00F51461"/>
    <w:rPr>
      <w:rFonts w:ascii="Arial" w:hAnsi="Arial"/>
      <w:sz w:val="24"/>
      <w:szCs w:val="24"/>
    </w:rPr>
  </w:style>
  <w:style w:type="paragraph" w:styleId="Footer">
    <w:name w:val="footer"/>
    <w:basedOn w:val="Normal"/>
    <w:link w:val="FooterChar"/>
    <w:uiPriority w:val="99"/>
    <w:unhideWhenUsed/>
    <w:rsid w:val="00F51461"/>
    <w:pPr>
      <w:tabs>
        <w:tab w:val="center" w:pos="4680"/>
        <w:tab w:val="right" w:pos="9360"/>
      </w:tabs>
    </w:pPr>
  </w:style>
  <w:style w:type="character" w:customStyle="1" w:styleId="FooterChar">
    <w:name w:val="Footer Char"/>
    <w:basedOn w:val="DefaultParagraphFont"/>
    <w:link w:val="Footer"/>
    <w:uiPriority w:val="99"/>
    <w:rsid w:val="00F51461"/>
    <w:rPr>
      <w:rFonts w:ascii="Arial" w:hAnsi="Arial"/>
      <w:sz w:val="24"/>
      <w:szCs w:val="24"/>
    </w:rPr>
  </w:style>
  <w:style w:type="paragraph" w:styleId="Title">
    <w:name w:val="Title"/>
    <w:basedOn w:val="Normal"/>
    <w:next w:val="Normal"/>
    <w:link w:val="TitleChar"/>
    <w:qFormat/>
    <w:rsid w:val="00942F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42F9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280D4B"/>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280D4B"/>
    <w:pPr>
      <w:spacing w:after="100"/>
    </w:pPr>
  </w:style>
  <w:style w:type="paragraph" w:styleId="TOC2">
    <w:name w:val="toc 2"/>
    <w:basedOn w:val="Normal"/>
    <w:next w:val="Normal"/>
    <w:autoRedefine/>
    <w:uiPriority w:val="39"/>
    <w:unhideWhenUsed/>
    <w:rsid w:val="00280D4B"/>
    <w:pPr>
      <w:spacing w:after="100"/>
      <w:ind w:left="240"/>
    </w:pPr>
  </w:style>
  <w:style w:type="paragraph" w:styleId="TOC3">
    <w:name w:val="toc 3"/>
    <w:basedOn w:val="Normal"/>
    <w:next w:val="Normal"/>
    <w:autoRedefine/>
    <w:uiPriority w:val="39"/>
    <w:unhideWhenUsed/>
    <w:rsid w:val="00280D4B"/>
    <w:pPr>
      <w:spacing w:after="100"/>
      <w:ind w:left="480"/>
    </w:pPr>
  </w:style>
  <w:style w:type="table" w:styleId="TableGrid">
    <w:name w:val="Table Grid"/>
    <w:basedOn w:val="TableNormal"/>
    <w:uiPriority w:val="59"/>
    <w:rsid w:val="00E2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E12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53"/>
    <w:rPr>
      <w:rFonts w:ascii="Arial" w:hAnsi="Arial"/>
      <w:sz w:val="24"/>
      <w:szCs w:val="24"/>
    </w:rPr>
  </w:style>
  <w:style w:type="paragraph" w:styleId="Heading1">
    <w:name w:val="heading 1"/>
    <w:basedOn w:val="Normal"/>
    <w:next w:val="Normal"/>
    <w:link w:val="Heading1Char"/>
    <w:qFormat/>
    <w:rsid w:val="00BF115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EA19C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883016"/>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153"/>
    <w:rPr>
      <w:rFonts w:ascii="Arial" w:eastAsiaTheme="majorEastAsia" w:hAnsi="Arial" w:cstheme="majorBidi"/>
      <w:b/>
      <w:bCs/>
      <w:sz w:val="28"/>
      <w:szCs w:val="28"/>
    </w:rPr>
  </w:style>
  <w:style w:type="paragraph" w:styleId="ListParagraph">
    <w:name w:val="List Paragraph"/>
    <w:basedOn w:val="Normal"/>
    <w:uiPriority w:val="34"/>
    <w:qFormat/>
    <w:rsid w:val="00BF1153"/>
    <w:pPr>
      <w:ind w:left="720"/>
      <w:contextualSpacing/>
    </w:pPr>
  </w:style>
  <w:style w:type="character" w:customStyle="1" w:styleId="Heading2Char">
    <w:name w:val="Heading 2 Char"/>
    <w:basedOn w:val="DefaultParagraphFont"/>
    <w:link w:val="Heading2"/>
    <w:rsid w:val="00EA19C7"/>
    <w:rPr>
      <w:rFonts w:ascii="Arial" w:eastAsiaTheme="majorEastAsia" w:hAnsi="Arial" w:cstheme="majorBidi"/>
      <w:b/>
      <w:bCs/>
      <w:sz w:val="24"/>
      <w:szCs w:val="26"/>
    </w:rPr>
  </w:style>
  <w:style w:type="character" w:customStyle="1" w:styleId="Heading3Char">
    <w:name w:val="Heading 3 Char"/>
    <w:basedOn w:val="DefaultParagraphFont"/>
    <w:link w:val="Heading3"/>
    <w:rsid w:val="00883016"/>
    <w:rPr>
      <w:rFonts w:ascii="Arial" w:eastAsiaTheme="majorEastAsia" w:hAnsi="Arial" w:cstheme="majorBidi"/>
      <w:b/>
      <w:bCs/>
      <w:color w:val="000000" w:themeColor="text1"/>
      <w:sz w:val="24"/>
      <w:szCs w:val="24"/>
    </w:rPr>
  </w:style>
  <w:style w:type="character" w:styleId="Strong">
    <w:name w:val="Strong"/>
    <w:basedOn w:val="DefaultParagraphFont"/>
    <w:uiPriority w:val="22"/>
    <w:qFormat/>
    <w:rsid w:val="00CC2AAA"/>
    <w:rPr>
      <w:b/>
      <w:bCs/>
    </w:rPr>
  </w:style>
  <w:style w:type="character" w:customStyle="1" w:styleId="apple-converted-space">
    <w:name w:val="apple-converted-space"/>
    <w:basedOn w:val="DefaultParagraphFont"/>
    <w:rsid w:val="00CC2AAA"/>
  </w:style>
  <w:style w:type="paragraph" w:styleId="FootnoteText">
    <w:name w:val="footnote text"/>
    <w:basedOn w:val="Normal"/>
    <w:link w:val="FootnoteTextChar"/>
    <w:uiPriority w:val="99"/>
    <w:unhideWhenUsed/>
    <w:rsid w:val="000E5AEF"/>
    <w:rPr>
      <w:sz w:val="20"/>
      <w:szCs w:val="20"/>
    </w:rPr>
  </w:style>
  <w:style w:type="character" w:customStyle="1" w:styleId="FootnoteTextChar">
    <w:name w:val="Footnote Text Char"/>
    <w:basedOn w:val="DefaultParagraphFont"/>
    <w:link w:val="FootnoteText"/>
    <w:uiPriority w:val="99"/>
    <w:rsid w:val="000E5AEF"/>
    <w:rPr>
      <w:rFonts w:ascii="Arial" w:hAnsi="Arial"/>
    </w:rPr>
  </w:style>
  <w:style w:type="character" w:styleId="FootnoteReference">
    <w:name w:val="footnote reference"/>
    <w:basedOn w:val="DefaultParagraphFont"/>
    <w:uiPriority w:val="99"/>
    <w:semiHidden/>
    <w:unhideWhenUsed/>
    <w:rsid w:val="000E5AEF"/>
    <w:rPr>
      <w:vertAlign w:val="superscript"/>
    </w:rPr>
  </w:style>
  <w:style w:type="character" w:styleId="Hyperlink">
    <w:name w:val="Hyperlink"/>
    <w:basedOn w:val="DefaultParagraphFont"/>
    <w:uiPriority w:val="99"/>
    <w:unhideWhenUsed/>
    <w:rsid w:val="00415D9D"/>
    <w:rPr>
      <w:color w:val="0000FF" w:themeColor="hyperlink"/>
      <w:u w:val="single"/>
    </w:rPr>
  </w:style>
  <w:style w:type="paragraph" w:styleId="BalloonText">
    <w:name w:val="Balloon Text"/>
    <w:basedOn w:val="Normal"/>
    <w:link w:val="BalloonTextChar"/>
    <w:uiPriority w:val="99"/>
    <w:semiHidden/>
    <w:unhideWhenUsed/>
    <w:rsid w:val="004028CF"/>
    <w:rPr>
      <w:rFonts w:ascii="Tahoma" w:hAnsi="Tahoma" w:cs="Tahoma"/>
      <w:sz w:val="16"/>
      <w:szCs w:val="16"/>
    </w:rPr>
  </w:style>
  <w:style w:type="character" w:customStyle="1" w:styleId="BalloonTextChar">
    <w:name w:val="Balloon Text Char"/>
    <w:basedOn w:val="DefaultParagraphFont"/>
    <w:link w:val="BalloonText"/>
    <w:uiPriority w:val="99"/>
    <w:semiHidden/>
    <w:rsid w:val="004028CF"/>
    <w:rPr>
      <w:rFonts w:ascii="Tahoma" w:hAnsi="Tahoma" w:cs="Tahoma"/>
      <w:sz w:val="16"/>
      <w:szCs w:val="16"/>
    </w:rPr>
  </w:style>
  <w:style w:type="character" w:styleId="FollowedHyperlink">
    <w:name w:val="FollowedHyperlink"/>
    <w:basedOn w:val="DefaultParagraphFont"/>
    <w:uiPriority w:val="99"/>
    <w:semiHidden/>
    <w:unhideWhenUsed/>
    <w:rsid w:val="000B47F4"/>
    <w:rPr>
      <w:color w:val="800080" w:themeColor="followedHyperlink"/>
      <w:u w:val="single"/>
    </w:rPr>
  </w:style>
  <w:style w:type="paragraph" w:styleId="Header">
    <w:name w:val="header"/>
    <w:basedOn w:val="Normal"/>
    <w:link w:val="HeaderChar"/>
    <w:uiPriority w:val="99"/>
    <w:unhideWhenUsed/>
    <w:rsid w:val="00F51461"/>
    <w:pPr>
      <w:tabs>
        <w:tab w:val="center" w:pos="4680"/>
        <w:tab w:val="right" w:pos="9360"/>
      </w:tabs>
    </w:pPr>
  </w:style>
  <w:style w:type="character" w:customStyle="1" w:styleId="HeaderChar">
    <w:name w:val="Header Char"/>
    <w:basedOn w:val="DefaultParagraphFont"/>
    <w:link w:val="Header"/>
    <w:uiPriority w:val="99"/>
    <w:rsid w:val="00F51461"/>
    <w:rPr>
      <w:rFonts w:ascii="Arial" w:hAnsi="Arial"/>
      <w:sz w:val="24"/>
      <w:szCs w:val="24"/>
    </w:rPr>
  </w:style>
  <w:style w:type="paragraph" w:styleId="Footer">
    <w:name w:val="footer"/>
    <w:basedOn w:val="Normal"/>
    <w:link w:val="FooterChar"/>
    <w:uiPriority w:val="99"/>
    <w:unhideWhenUsed/>
    <w:rsid w:val="00F51461"/>
    <w:pPr>
      <w:tabs>
        <w:tab w:val="center" w:pos="4680"/>
        <w:tab w:val="right" w:pos="9360"/>
      </w:tabs>
    </w:pPr>
  </w:style>
  <w:style w:type="character" w:customStyle="1" w:styleId="FooterChar">
    <w:name w:val="Footer Char"/>
    <w:basedOn w:val="DefaultParagraphFont"/>
    <w:link w:val="Footer"/>
    <w:uiPriority w:val="99"/>
    <w:rsid w:val="00F51461"/>
    <w:rPr>
      <w:rFonts w:ascii="Arial" w:hAnsi="Arial"/>
      <w:sz w:val="24"/>
      <w:szCs w:val="24"/>
    </w:rPr>
  </w:style>
  <w:style w:type="paragraph" w:styleId="Title">
    <w:name w:val="Title"/>
    <w:basedOn w:val="Normal"/>
    <w:next w:val="Normal"/>
    <w:link w:val="TitleChar"/>
    <w:qFormat/>
    <w:rsid w:val="00942F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42F9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280D4B"/>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280D4B"/>
    <w:pPr>
      <w:spacing w:after="100"/>
    </w:pPr>
  </w:style>
  <w:style w:type="paragraph" w:styleId="TOC2">
    <w:name w:val="toc 2"/>
    <w:basedOn w:val="Normal"/>
    <w:next w:val="Normal"/>
    <w:autoRedefine/>
    <w:uiPriority w:val="39"/>
    <w:unhideWhenUsed/>
    <w:rsid w:val="00280D4B"/>
    <w:pPr>
      <w:spacing w:after="100"/>
      <w:ind w:left="240"/>
    </w:pPr>
  </w:style>
  <w:style w:type="paragraph" w:styleId="TOC3">
    <w:name w:val="toc 3"/>
    <w:basedOn w:val="Normal"/>
    <w:next w:val="Normal"/>
    <w:autoRedefine/>
    <w:uiPriority w:val="39"/>
    <w:unhideWhenUsed/>
    <w:rsid w:val="00280D4B"/>
    <w:pPr>
      <w:spacing w:after="100"/>
      <w:ind w:left="480"/>
    </w:pPr>
  </w:style>
  <w:style w:type="table" w:styleId="TableGrid">
    <w:name w:val="Table Grid"/>
    <w:basedOn w:val="TableNormal"/>
    <w:uiPriority w:val="59"/>
    <w:rsid w:val="00E2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E1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683">
      <w:bodyDiv w:val="1"/>
      <w:marLeft w:val="0"/>
      <w:marRight w:val="0"/>
      <w:marTop w:val="0"/>
      <w:marBottom w:val="0"/>
      <w:divBdr>
        <w:top w:val="none" w:sz="0" w:space="0" w:color="auto"/>
        <w:left w:val="none" w:sz="0" w:space="0" w:color="auto"/>
        <w:bottom w:val="none" w:sz="0" w:space="0" w:color="auto"/>
        <w:right w:val="none" w:sz="0" w:space="0" w:color="auto"/>
      </w:divBdr>
    </w:div>
    <w:div w:id="157501852">
      <w:bodyDiv w:val="1"/>
      <w:marLeft w:val="0"/>
      <w:marRight w:val="0"/>
      <w:marTop w:val="0"/>
      <w:marBottom w:val="0"/>
      <w:divBdr>
        <w:top w:val="none" w:sz="0" w:space="0" w:color="auto"/>
        <w:left w:val="none" w:sz="0" w:space="0" w:color="auto"/>
        <w:bottom w:val="none" w:sz="0" w:space="0" w:color="auto"/>
        <w:right w:val="none" w:sz="0" w:space="0" w:color="auto"/>
      </w:divBdr>
      <w:divsChild>
        <w:div w:id="2106919927">
          <w:marLeft w:val="0"/>
          <w:marRight w:val="0"/>
          <w:marTop w:val="0"/>
          <w:marBottom w:val="0"/>
          <w:divBdr>
            <w:top w:val="none" w:sz="0" w:space="0" w:color="auto"/>
            <w:left w:val="none" w:sz="0" w:space="0" w:color="auto"/>
            <w:bottom w:val="none" w:sz="0" w:space="0" w:color="auto"/>
            <w:right w:val="none" w:sz="0" w:space="0" w:color="auto"/>
          </w:divBdr>
          <w:divsChild>
            <w:div w:id="721636818">
              <w:marLeft w:val="0"/>
              <w:marRight w:val="0"/>
              <w:marTop w:val="0"/>
              <w:marBottom w:val="0"/>
              <w:divBdr>
                <w:top w:val="none" w:sz="0" w:space="0" w:color="auto"/>
                <w:left w:val="none" w:sz="0" w:space="0" w:color="auto"/>
                <w:bottom w:val="none" w:sz="0" w:space="0" w:color="auto"/>
                <w:right w:val="none" w:sz="0" w:space="0" w:color="auto"/>
              </w:divBdr>
              <w:divsChild>
                <w:div w:id="495658635">
                  <w:marLeft w:val="0"/>
                  <w:marRight w:val="0"/>
                  <w:marTop w:val="0"/>
                  <w:marBottom w:val="0"/>
                  <w:divBdr>
                    <w:top w:val="none" w:sz="0" w:space="0" w:color="auto"/>
                    <w:left w:val="none" w:sz="0" w:space="0" w:color="auto"/>
                    <w:bottom w:val="none" w:sz="0" w:space="0" w:color="auto"/>
                    <w:right w:val="none" w:sz="0" w:space="0" w:color="auto"/>
                  </w:divBdr>
                  <w:divsChild>
                    <w:div w:id="2115469298">
                      <w:marLeft w:val="0"/>
                      <w:marRight w:val="0"/>
                      <w:marTop w:val="0"/>
                      <w:marBottom w:val="0"/>
                      <w:divBdr>
                        <w:top w:val="none" w:sz="0" w:space="0" w:color="auto"/>
                        <w:left w:val="none" w:sz="0" w:space="0" w:color="auto"/>
                        <w:bottom w:val="none" w:sz="0" w:space="0" w:color="auto"/>
                        <w:right w:val="none" w:sz="0" w:space="0" w:color="auto"/>
                      </w:divBdr>
                      <w:divsChild>
                        <w:div w:id="905915392">
                          <w:marLeft w:val="0"/>
                          <w:marRight w:val="0"/>
                          <w:marTop w:val="0"/>
                          <w:marBottom w:val="0"/>
                          <w:divBdr>
                            <w:top w:val="none" w:sz="0" w:space="0" w:color="auto"/>
                            <w:left w:val="none" w:sz="0" w:space="0" w:color="auto"/>
                            <w:bottom w:val="none" w:sz="0" w:space="0" w:color="auto"/>
                            <w:right w:val="none" w:sz="0" w:space="0" w:color="auto"/>
                          </w:divBdr>
                          <w:divsChild>
                            <w:div w:id="799230656">
                              <w:marLeft w:val="0"/>
                              <w:marRight w:val="0"/>
                              <w:marTop w:val="0"/>
                              <w:marBottom w:val="0"/>
                              <w:divBdr>
                                <w:top w:val="none" w:sz="0" w:space="0" w:color="auto"/>
                                <w:left w:val="none" w:sz="0" w:space="0" w:color="auto"/>
                                <w:bottom w:val="none" w:sz="0" w:space="0" w:color="auto"/>
                                <w:right w:val="none" w:sz="0" w:space="0" w:color="auto"/>
                              </w:divBdr>
                              <w:divsChild>
                                <w:div w:id="1002701218">
                                  <w:marLeft w:val="0"/>
                                  <w:marRight w:val="0"/>
                                  <w:marTop w:val="0"/>
                                  <w:marBottom w:val="0"/>
                                  <w:divBdr>
                                    <w:top w:val="none" w:sz="0" w:space="0" w:color="auto"/>
                                    <w:left w:val="none" w:sz="0" w:space="0" w:color="auto"/>
                                    <w:bottom w:val="none" w:sz="0" w:space="0" w:color="auto"/>
                                    <w:right w:val="none" w:sz="0" w:space="0" w:color="auto"/>
                                  </w:divBdr>
                                  <w:divsChild>
                                    <w:div w:id="18064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71160">
      <w:bodyDiv w:val="1"/>
      <w:marLeft w:val="0"/>
      <w:marRight w:val="0"/>
      <w:marTop w:val="0"/>
      <w:marBottom w:val="0"/>
      <w:divBdr>
        <w:top w:val="none" w:sz="0" w:space="0" w:color="auto"/>
        <w:left w:val="none" w:sz="0" w:space="0" w:color="auto"/>
        <w:bottom w:val="none" w:sz="0" w:space="0" w:color="auto"/>
        <w:right w:val="none" w:sz="0" w:space="0" w:color="auto"/>
      </w:divBdr>
      <w:divsChild>
        <w:div w:id="787048350">
          <w:marLeft w:val="0"/>
          <w:marRight w:val="0"/>
          <w:marTop w:val="0"/>
          <w:marBottom w:val="0"/>
          <w:divBdr>
            <w:top w:val="none" w:sz="0" w:space="0" w:color="auto"/>
            <w:left w:val="none" w:sz="0" w:space="0" w:color="auto"/>
            <w:bottom w:val="none" w:sz="0" w:space="0" w:color="auto"/>
            <w:right w:val="none" w:sz="0" w:space="0" w:color="auto"/>
          </w:divBdr>
          <w:divsChild>
            <w:div w:id="1331717388">
              <w:marLeft w:val="0"/>
              <w:marRight w:val="0"/>
              <w:marTop w:val="0"/>
              <w:marBottom w:val="0"/>
              <w:divBdr>
                <w:top w:val="none" w:sz="0" w:space="0" w:color="auto"/>
                <w:left w:val="none" w:sz="0" w:space="0" w:color="auto"/>
                <w:bottom w:val="none" w:sz="0" w:space="0" w:color="auto"/>
                <w:right w:val="none" w:sz="0" w:space="0" w:color="auto"/>
              </w:divBdr>
              <w:divsChild>
                <w:div w:id="478306443">
                  <w:marLeft w:val="0"/>
                  <w:marRight w:val="0"/>
                  <w:marTop w:val="0"/>
                  <w:marBottom w:val="0"/>
                  <w:divBdr>
                    <w:top w:val="none" w:sz="0" w:space="0" w:color="auto"/>
                    <w:left w:val="none" w:sz="0" w:space="0" w:color="auto"/>
                    <w:bottom w:val="none" w:sz="0" w:space="0" w:color="auto"/>
                    <w:right w:val="none" w:sz="0" w:space="0" w:color="auto"/>
                  </w:divBdr>
                  <w:divsChild>
                    <w:div w:id="1699088148">
                      <w:marLeft w:val="0"/>
                      <w:marRight w:val="0"/>
                      <w:marTop w:val="0"/>
                      <w:marBottom w:val="0"/>
                      <w:divBdr>
                        <w:top w:val="none" w:sz="0" w:space="0" w:color="auto"/>
                        <w:left w:val="none" w:sz="0" w:space="0" w:color="auto"/>
                        <w:bottom w:val="none" w:sz="0" w:space="0" w:color="auto"/>
                        <w:right w:val="none" w:sz="0" w:space="0" w:color="auto"/>
                      </w:divBdr>
                      <w:divsChild>
                        <w:div w:id="1313755548">
                          <w:marLeft w:val="0"/>
                          <w:marRight w:val="0"/>
                          <w:marTop w:val="0"/>
                          <w:marBottom w:val="0"/>
                          <w:divBdr>
                            <w:top w:val="none" w:sz="0" w:space="0" w:color="auto"/>
                            <w:left w:val="none" w:sz="0" w:space="0" w:color="auto"/>
                            <w:bottom w:val="none" w:sz="0" w:space="0" w:color="auto"/>
                            <w:right w:val="none" w:sz="0" w:space="0" w:color="auto"/>
                          </w:divBdr>
                          <w:divsChild>
                            <w:div w:id="324936882">
                              <w:marLeft w:val="0"/>
                              <w:marRight w:val="0"/>
                              <w:marTop w:val="0"/>
                              <w:marBottom w:val="0"/>
                              <w:divBdr>
                                <w:top w:val="none" w:sz="0" w:space="0" w:color="auto"/>
                                <w:left w:val="none" w:sz="0" w:space="0" w:color="auto"/>
                                <w:bottom w:val="none" w:sz="0" w:space="0" w:color="auto"/>
                                <w:right w:val="none" w:sz="0" w:space="0" w:color="auto"/>
                              </w:divBdr>
                              <w:divsChild>
                                <w:div w:id="1350332664">
                                  <w:marLeft w:val="0"/>
                                  <w:marRight w:val="0"/>
                                  <w:marTop w:val="0"/>
                                  <w:marBottom w:val="0"/>
                                  <w:divBdr>
                                    <w:top w:val="none" w:sz="0" w:space="0" w:color="auto"/>
                                    <w:left w:val="none" w:sz="0" w:space="0" w:color="auto"/>
                                    <w:bottom w:val="none" w:sz="0" w:space="0" w:color="auto"/>
                                    <w:right w:val="none" w:sz="0" w:space="0" w:color="auto"/>
                                  </w:divBdr>
                                  <w:divsChild>
                                    <w:div w:id="19236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00795">
      <w:bodyDiv w:val="1"/>
      <w:marLeft w:val="0"/>
      <w:marRight w:val="0"/>
      <w:marTop w:val="0"/>
      <w:marBottom w:val="0"/>
      <w:divBdr>
        <w:top w:val="none" w:sz="0" w:space="0" w:color="auto"/>
        <w:left w:val="none" w:sz="0" w:space="0" w:color="auto"/>
        <w:bottom w:val="none" w:sz="0" w:space="0" w:color="auto"/>
        <w:right w:val="none" w:sz="0" w:space="0" w:color="auto"/>
      </w:divBdr>
      <w:divsChild>
        <w:div w:id="1602034575">
          <w:marLeft w:val="0"/>
          <w:marRight w:val="0"/>
          <w:marTop w:val="0"/>
          <w:marBottom w:val="0"/>
          <w:divBdr>
            <w:top w:val="none" w:sz="0" w:space="0" w:color="auto"/>
            <w:left w:val="none" w:sz="0" w:space="0" w:color="auto"/>
            <w:bottom w:val="none" w:sz="0" w:space="0" w:color="auto"/>
            <w:right w:val="none" w:sz="0" w:space="0" w:color="auto"/>
          </w:divBdr>
          <w:divsChild>
            <w:div w:id="321323524">
              <w:marLeft w:val="0"/>
              <w:marRight w:val="0"/>
              <w:marTop w:val="0"/>
              <w:marBottom w:val="0"/>
              <w:divBdr>
                <w:top w:val="none" w:sz="0" w:space="0" w:color="auto"/>
                <w:left w:val="none" w:sz="0" w:space="0" w:color="auto"/>
                <w:bottom w:val="none" w:sz="0" w:space="0" w:color="auto"/>
                <w:right w:val="none" w:sz="0" w:space="0" w:color="auto"/>
              </w:divBdr>
              <w:divsChild>
                <w:div w:id="278730681">
                  <w:marLeft w:val="0"/>
                  <w:marRight w:val="0"/>
                  <w:marTop w:val="0"/>
                  <w:marBottom w:val="0"/>
                  <w:divBdr>
                    <w:top w:val="none" w:sz="0" w:space="0" w:color="auto"/>
                    <w:left w:val="none" w:sz="0" w:space="0" w:color="auto"/>
                    <w:bottom w:val="none" w:sz="0" w:space="0" w:color="auto"/>
                    <w:right w:val="none" w:sz="0" w:space="0" w:color="auto"/>
                  </w:divBdr>
                  <w:divsChild>
                    <w:div w:id="519900308">
                      <w:marLeft w:val="0"/>
                      <w:marRight w:val="0"/>
                      <w:marTop w:val="0"/>
                      <w:marBottom w:val="0"/>
                      <w:divBdr>
                        <w:top w:val="none" w:sz="0" w:space="0" w:color="auto"/>
                        <w:left w:val="none" w:sz="0" w:space="0" w:color="auto"/>
                        <w:bottom w:val="none" w:sz="0" w:space="0" w:color="auto"/>
                        <w:right w:val="none" w:sz="0" w:space="0" w:color="auto"/>
                      </w:divBdr>
                      <w:divsChild>
                        <w:div w:id="1262570612">
                          <w:marLeft w:val="0"/>
                          <w:marRight w:val="0"/>
                          <w:marTop w:val="0"/>
                          <w:marBottom w:val="0"/>
                          <w:divBdr>
                            <w:top w:val="none" w:sz="0" w:space="0" w:color="auto"/>
                            <w:left w:val="none" w:sz="0" w:space="0" w:color="auto"/>
                            <w:bottom w:val="none" w:sz="0" w:space="0" w:color="auto"/>
                            <w:right w:val="none" w:sz="0" w:space="0" w:color="auto"/>
                          </w:divBdr>
                          <w:divsChild>
                            <w:div w:id="1915165309">
                              <w:marLeft w:val="0"/>
                              <w:marRight w:val="0"/>
                              <w:marTop w:val="0"/>
                              <w:marBottom w:val="0"/>
                              <w:divBdr>
                                <w:top w:val="none" w:sz="0" w:space="0" w:color="auto"/>
                                <w:left w:val="none" w:sz="0" w:space="0" w:color="auto"/>
                                <w:bottom w:val="none" w:sz="0" w:space="0" w:color="auto"/>
                                <w:right w:val="none" w:sz="0" w:space="0" w:color="auto"/>
                              </w:divBdr>
                              <w:divsChild>
                                <w:div w:id="350954805">
                                  <w:marLeft w:val="0"/>
                                  <w:marRight w:val="0"/>
                                  <w:marTop w:val="0"/>
                                  <w:marBottom w:val="0"/>
                                  <w:divBdr>
                                    <w:top w:val="none" w:sz="0" w:space="0" w:color="auto"/>
                                    <w:left w:val="none" w:sz="0" w:space="0" w:color="auto"/>
                                    <w:bottom w:val="none" w:sz="0" w:space="0" w:color="auto"/>
                                    <w:right w:val="none" w:sz="0" w:space="0" w:color="auto"/>
                                  </w:divBdr>
                                  <w:divsChild>
                                    <w:div w:id="8921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334690">
      <w:bodyDiv w:val="1"/>
      <w:marLeft w:val="0"/>
      <w:marRight w:val="0"/>
      <w:marTop w:val="0"/>
      <w:marBottom w:val="0"/>
      <w:divBdr>
        <w:top w:val="none" w:sz="0" w:space="0" w:color="auto"/>
        <w:left w:val="none" w:sz="0" w:space="0" w:color="auto"/>
        <w:bottom w:val="none" w:sz="0" w:space="0" w:color="auto"/>
        <w:right w:val="none" w:sz="0" w:space="0" w:color="auto"/>
      </w:divBdr>
      <w:divsChild>
        <w:div w:id="1939867087">
          <w:marLeft w:val="0"/>
          <w:marRight w:val="0"/>
          <w:marTop w:val="0"/>
          <w:marBottom w:val="0"/>
          <w:divBdr>
            <w:top w:val="none" w:sz="0" w:space="0" w:color="auto"/>
            <w:left w:val="none" w:sz="0" w:space="0" w:color="auto"/>
            <w:bottom w:val="none" w:sz="0" w:space="0" w:color="auto"/>
            <w:right w:val="none" w:sz="0" w:space="0" w:color="auto"/>
          </w:divBdr>
          <w:divsChild>
            <w:div w:id="1069572106">
              <w:marLeft w:val="0"/>
              <w:marRight w:val="0"/>
              <w:marTop w:val="0"/>
              <w:marBottom w:val="0"/>
              <w:divBdr>
                <w:top w:val="none" w:sz="0" w:space="0" w:color="auto"/>
                <w:left w:val="none" w:sz="0" w:space="0" w:color="auto"/>
                <w:bottom w:val="none" w:sz="0" w:space="0" w:color="auto"/>
                <w:right w:val="none" w:sz="0" w:space="0" w:color="auto"/>
              </w:divBdr>
              <w:divsChild>
                <w:div w:id="868640099">
                  <w:marLeft w:val="0"/>
                  <w:marRight w:val="0"/>
                  <w:marTop w:val="0"/>
                  <w:marBottom w:val="0"/>
                  <w:divBdr>
                    <w:top w:val="none" w:sz="0" w:space="0" w:color="auto"/>
                    <w:left w:val="none" w:sz="0" w:space="0" w:color="auto"/>
                    <w:bottom w:val="none" w:sz="0" w:space="0" w:color="auto"/>
                    <w:right w:val="none" w:sz="0" w:space="0" w:color="auto"/>
                  </w:divBdr>
                  <w:divsChild>
                    <w:div w:id="1464157323">
                      <w:marLeft w:val="0"/>
                      <w:marRight w:val="0"/>
                      <w:marTop w:val="0"/>
                      <w:marBottom w:val="0"/>
                      <w:divBdr>
                        <w:top w:val="none" w:sz="0" w:space="0" w:color="auto"/>
                        <w:left w:val="none" w:sz="0" w:space="0" w:color="auto"/>
                        <w:bottom w:val="none" w:sz="0" w:space="0" w:color="auto"/>
                        <w:right w:val="none" w:sz="0" w:space="0" w:color="auto"/>
                      </w:divBdr>
                      <w:divsChild>
                        <w:div w:id="241305623">
                          <w:marLeft w:val="0"/>
                          <w:marRight w:val="0"/>
                          <w:marTop w:val="0"/>
                          <w:marBottom w:val="0"/>
                          <w:divBdr>
                            <w:top w:val="none" w:sz="0" w:space="0" w:color="auto"/>
                            <w:left w:val="none" w:sz="0" w:space="0" w:color="auto"/>
                            <w:bottom w:val="none" w:sz="0" w:space="0" w:color="auto"/>
                            <w:right w:val="none" w:sz="0" w:space="0" w:color="auto"/>
                          </w:divBdr>
                          <w:divsChild>
                            <w:div w:id="1024287358">
                              <w:marLeft w:val="0"/>
                              <w:marRight w:val="0"/>
                              <w:marTop w:val="0"/>
                              <w:marBottom w:val="0"/>
                              <w:divBdr>
                                <w:top w:val="none" w:sz="0" w:space="0" w:color="auto"/>
                                <w:left w:val="none" w:sz="0" w:space="0" w:color="auto"/>
                                <w:bottom w:val="none" w:sz="0" w:space="0" w:color="auto"/>
                                <w:right w:val="none" w:sz="0" w:space="0" w:color="auto"/>
                              </w:divBdr>
                              <w:divsChild>
                                <w:div w:id="1790783553">
                                  <w:marLeft w:val="0"/>
                                  <w:marRight w:val="0"/>
                                  <w:marTop w:val="0"/>
                                  <w:marBottom w:val="0"/>
                                  <w:divBdr>
                                    <w:top w:val="none" w:sz="0" w:space="0" w:color="auto"/>
                                    <w:left w:val="none" w:sz="0" w:space="0" w:color="auto"/>
                                    <w:bottom w:val="none" w:sz="0" w:space="0" w:color="auto"/>
                                    <w:right w:val="none" w:sz="0" w:space="0" w:color="auto"/>
                                  </w:divBdr>
                                  <w:divsChild>
                                    <w:div w:id="21427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bca.org.au/attachments/Blind%20Citizens%20Australia%20-%20Tell%20me%20where%20I%20am!%20Audible%20announcements%20report%202012%2012%20FINAL.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9BC1-1CEA-4F15-9826-2A6AA318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17</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Feldman</dc:creator>
  <cp:lastModifiedBy>Amy Feldman</cp:lastModifiedBy>
  <cp:revision>6</cp:revision>
  <cp:lastPrinted>2014-03-06T21:39:00Z</cp:lastPrinted>
  <dcterms:created xsi:type="dcterms:W3CDTF">2014-03-06T02:30:00Z</dcterms:created>
  <dcterms:modified xsi:type="dcterms:W3CDTF">2014-03-07T00:30:00Z</dcterms:modified>
</cp:coreProperties>
</file>